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0D" w:rsidRPr="001C3E9C" w:rsidRDefault="00D7400D" w:rsidP="00D7400D">
      <w:pPr>
        <w:shd w:val="clear" w:color="auto" w:fill="FFFFFF"/>
        <w:spacing w:after="0" w:line="240" w:lineRule="auto"/>
        <w:ind w:left="4253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Додаток 1</w:t>
      </w:r>
    </w:p>
    <w:p w:rsidR="00D7400D" w:rsidRPr="001C3E9C" w:rsidRDefault="00D7400D" w:rsidP="00D7400D">
      <w:pPr>
        <w:shd w:val="clear" w:color="auto" w:fill="FFFFFF"/>
        <w:spacing w:after="0" w:line="240" w:lineRule="auto"/>
        <w:ind w:left="4253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до Порядку розроблення, погодження та затвердження інвестиційних програм суб'єктів господарювання у сфері управління побутовими відходами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(підпункт 1 пункту 4 розділу II)</w:t>
      </w:r>
    </w:p>
    <w:p w:rsidR="00D7400D" w:rsidRPr="001C3E9C" w:rsidRDefault="00D7400D" w:rsidP="00D7400D">
      <w:pPr>
        <w:shd w:val="clear" w:color="auto" w:fill="FFFFFF"/>
        <w:spacing w:after="0" w:line="240" w:lineRule="auto"/>
        <w:ind w:left="4253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D7400D" w:rsidRPr="001C3E9C" w:rsidTr="00D7400D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                        РОЗРОБЛЕНО: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ТОВ «ГРІНЕРА СТРИЙ»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            (найменування посади керівника суб'єкта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                                 господарювання)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 Богдан МИХАЛУСЬ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(підпис)                            (власне ім'я ПРІЗВИЩЕ)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липня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  <w:r w:rsidR="001922C9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B15D5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                       ЗАТВЕРДЖЕНО: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_________________________________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(найменування органу місцевого самоврядування)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               від ____________ N _____</w:t>
            </w:r>
          </w:p>
        </w:tc>
      </w:tr>
      <w:tr w:rsidR="00D7400D" w:rsidRPr="001C3E9C" w:rsidTr="00D7400D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                        ПОГОДЖЕНО: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(найменування посади керівника підрозділу в сфері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житлово-комунального господарства органу місцевого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самоврядування)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       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(підпис)                            (власне ім'я ПРІЗВИЩЕ)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                        ПОГОДЖЕНО: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(найменування посади керівника підрозділу в сфері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економіки органу місцевого самоврядування)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       __________________________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(підпис)                            (власне ім'я ПРІЗВИЩЕ)</w:t>
            </w:r>
          </w:p>
          <w:p w:rsidR="00D7400D" w:rsidRPr="001C3E9C" w:rsidRDefault="00D7400D" w:rsidP="00D74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</w:tr>
    </w:tbl>
    <w:p w:rsidR="00D7400D" w:rsidRPr="001C3E9C" w:rsidRDefault="00D7400D" w:rsidP="00D7400D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293A55"/>
          <w:sz w:val="30"/>
          <w:szCs w:val="30"/>
          <w:lang w:eastAsia="uk-UA"/>
        </w:rPr>
      </w:pPr>
    </w:p>
    <w:p w:rsidR="00D7400D" w:rsidRPr="001C3E9C" w:rsidRDefault="00D7400D" w:rsidP="00D7400D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293A55"/>
          <w:sz w:val="30"/>
          <w:szCs w:val="30"/>
          <w:lang w:eastAsia="uk-UA"/>
        </w:rPr>
      </w:pPr>
    </w:p>
    <w:p w:rsidR="00D7400D" w:rsidRPr="001C3E9C" w:rsidRDefault="00D7400D" w:rsidP="00D7400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ІНВЕСТИЦІЙНА ПРОГРАМА</w:t>
      </w:r>
    </w:p>
    <w:p w:rsidR="00D7400D" w:rsidRPr="001C3E9C" w:rsidRDefault="00D7400D" w:rsidP="00D7400D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Товариства з обмеженою відповідальністю «ГРІНЕРА СТРИЙ»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на 2024</w:t>
      </w:r>
      <w:r w:rsidR="00214C27"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рік</w:t>
      </w:r>
    </w:p>
    <w:p w:rsidR="007B15D5" w:rsidRPr="001C3E9C" w:rsidRDefault="007B15D5" w:rsidP="00D7400D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(із змінами)</w:t>
      </w:r>
    </w:p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D7400D" w:rsidRPr="001C3E9C" w:rsidRDefault="00D7400D"/>
    <w:p w:rsidR="001E7ADF" w:rsidRPr="001C3E9C" w:rsidRDefault="001E7ADF"/>
    <w:p w:rsidR="001E7ADF" w:rsidRPr="001C3E9C" w:rsidRDefault="001E7ADF"/>
    <w:p w:rsidR="00D7400D" w:rsidRPr="001C3E9C" w:rsidRDefault="00D7400D"/>
    <w:p w:rsidR="00D7400D" w:rsidRPr="001C3E9C" w:rsidRDefault="00D7400D"/>
    <w:p w:rsidR="009648D0" w:rsidRDefault="009648D0" w:rsidP="00D7400D">
      <w:pPr>
        <w:jc w:val="center"/>
        <w:rPr>
          <w:rFonts w:ascii="IBM Plex Serif" w:hAnsi="IBM Plex Serif"/>
          <w:color w:val="293A55"/>
          <w:shd w:val="clear" w:color="auto" w:fill="FFFFFF"/>
        </w:rPr>
      </w:pPr>
    </w:p>
    <w:p w:rsidR="00D7400D" w:rsidRPr="001C3E9C" w:rsidRDefault="00D7400D" w:rsidP="00D7400D">
      <w:pPr>
        <w:jc w:val="center"/>
      </w:pPr>
      <w:r w:rsidRPr="001C3E9C">
        <w:rPr>
          <w:rFonts w:ascii="IBM Plex Serif" w:hAnsi="IBM Plex Serif"/>
          <w:color w:val="293A55"/>
          <w:shd w:val="clear" w:color="auto" w:fill="FFFFFF"/>
        </w:rPr>
        <w:lastRenderedPageBreak/>
        <w:t>Зміст інвестиційної програми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1)</w:t>
      </w:r>
      <w:r w:rsidRPr="001C3E9C">
        <w:rPr>
          <w:rFonts w:ascii="IBM Plex Serif" w:hAnsi="IBM Plex Serif"/>
          <w:color w:val="293A55"/>
        </w:rPr>
        <w:t xml:space="preserve"> титульний аркуш;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2)</w:t>
      </w:r>
      <w:r w:rsidRPr="001C3E9C">
        <w:rPr>
          <w:rFonts w:ascii="IBM Plex Serif" w:hAnsi="IBM Plex Serif"/>
          <w:color w:val="293A55"/>
        </w:rPr>
        <w:t xml:space="preserve"> зміст інвестиційної програми;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3)</w:t>
      </w:r>
      <w:r w:rsidRPr="001C3E9C">
        <w:rPr>
          <w:rFonts w:ascii="IBM Plex Serif" w:hAnsi="IBM Plex Serif"/>
          <w:color w:val="293A55"/>
        </w:rPr>
        <w:t xml:space="preserve"> інформаційна картка суб'єкта господарювання до інвестиційної програми;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4)</w:t>
      </w:r>
      <w:r w:rsidRPr="001C3E9C">
        <w:rPr>
          <w:rFonts w:ascii="IBM Plex Serif" w:hAnsi="IBM Plex Serif"/>
          <w:color w:val="293A55"/>
        </w:rPr>
        <w:t xml:space="preserve"> фінансовий план використання коштів для виконання інвестиційної програми; 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5)</w:t>
      </w:r>
      <w:r w:rsidRPr="001C3E9C">
        <w:rPr>
          <w:rFonts w:ascii="IBM Plex Serif" w:hAnsi="IBM Plex Serif"/>
          <w:color w:val="293A55"/>
        </w:rPr>
        <w:t xml:space="preserve">план-графік використання коштів для виконання інвестиційної програми; </w:t>
      </w:r>
    </w:p>
    <w:p w:rsidR="00D7400D" w:rsidRPr="001C3E9C" w:rsidRDefault="00D7400D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6)</w:t>
      </w:r>
      <w:r w:rsidRPr="001C3E9C">
        <w:rPr>
          <w:rFonts w:ascii="IBM Plex Serif" w:hAnsi="IBM Plex Serif"/>
          <w:color w:val="293A55"/>
        </w:rPr>
        <w:t xml:space="preserve"> фінансовий план використання коштів для виконання інвестиційної програми та їх урахування у структурі тарифів на 12 місяців розраховані відповідно до структури чинних та/або планованих тарифів і залучених коштів під час провадження господарської діяльності та з обов'язковим визначенням джерел фінансування заходів цієї інвестиційної програми;</w:t>
      </w:r>
    </w:p>
    <w:p w:rsidR="00D7400D" w:rsidRPr="001C3E9C" w:rsidRDefault="00420AA0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7</w:t>
      </w:r>
      <w:r w:rsidR="00D7400D" w:rsidRPr="001C3E9C">
        <w:rPr>
          <w:rFonts w:ascii="IBM Plex Serif" w:hAnsi="IBM Plex Serif"/>
          <w:b/>
          <w:bCs/>
          <w:color w:val="293A55"/>
        </w:rPr>
        <w:t>)</w:t>
      </w:r>
      <w:r w:rsidR="00D7400D" w:rsidRPr="001C3E9C">
        <w:rPr>
          <w:rFonts w:ascii="IBM Plex Serif" w:hAnsi="IBM Plex Serif"/>
          <w:color w:val="293A55"/>
        </w:rPr>
        <w:t xml:space="preserve"> пояснювальн</w:t>
      </w:r>
      <w:r w:rsidRPr="001C3E9C">
        <w:rPr>
          <w:rFonts w:ascii="IBM Plex Serif" w:hAnsi="IBM Plex Serif"/>
          <w:color w:val="293A55"/>
        </w:rPr>
        <w:t>а</w:t>
      </w:r>
      <w:r w:rsidR="00D7400D" w:rsidRPr="001C3E9C">
        <w:rPr>
          <w:rFonts w:ascii="IBM Plex Serif" w:hAnsi="IBM Plex Serif"/>
          <w:color w:val="293A55"/>
        </w:rPr>
        <w:t xml:space="preserve"> записк</w:t>
      </w:r>
      <w:r w:rsidRPr="001C3E9C">
        <w:rPr>
          <w:rFonts w:ascii="IBM Plex Serif" w:hAnsi="IBM Plex Serif"/>
          <w:color w:val="293A55"/>
        </w:rPr>
        <w:t>а;</w:t>
      </w:r>
    </w:p>
    <w:p w:rsidR="00D7400D" w:rsidRPr="001C3E9C" w:rsidRDefault="00420AA0" w:rsidP="00D7400D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8</w:t>
      </w:r>
      <w:r w:rsidR="00D7400D" w:rsidRPr="001C3E9C">
        <w:rPr>
          <w:rFonts w:ascii="IBM Plex Serif" w:hAnsi="IBM Plex Serif"/>
          <w:color w:val="293A55"/>
        </w:rPr>
        <w:t xml:space="preserve">) </w:t>
      </w:r>
      <w:bookmarkStart w:id="0" w:name="_Hlk154688914"/>
      <w:r w:rsidR="00D7400D" w:rsidRPr="001C3E9C">
        <w:rPr>
          <w:rFonts w:ascii="IBM Plex Serif" w:hAnsi="IBM Plex Serif"/>
          <w:color w:val="293A55"/>
        </w:rPr>
        <w:t>опис заходів інвестиційної програми на планований та прогнозний періоди</w:t>
      </w:r>
      <w:r w:rsidRPr="001C3E9C">
        <w:rPr>
          <w:rFonts w:ascii="IBM Plex Serif" w:hAnsi="IBM Plex Serif"/>
          <w:color w:val="293A55"/>
        </w:rPr>
        <w:t>.</w:t>
      </w:r>
    </w:p>
    <w:bookmarkEnd w:id="0"/>
    <w:p w:rsidR="00420AA0" w:rsidRPr="001C3E9C" w:rsidRDefault="00420AA0" w:rsidP="00420AA0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9</w:t>
      </w:r>
      <w:r w:rsidRPr="001C3E9C">
        <w:rPr>
          <w:rFonts w:ascii="IBM Plex Serif" w:hAnsi="IBM Plex Serif"/>
          <w:color w:val="293A55"/>
        </w:rPr>
        <w:t>) письмове техніко-економічне обґрунтування необхідності отримання позики, кредиту, затверджене суб'єктом господарювання;</w:t>
      </w:r>
    </w:p>
    <w:p w:rsidR="00420AA0" w:rsidRPr="001C3E9C" w:rsidRDefault="00420AA0" w:rsidP="00420AA0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</w:rPr>
      </w:pPr>
      <w:r w:rsidRPr="001C3E9C">
        <w:rPr>
          <w:rFonts w:ascii="IBM Plex Serif" w:hAnsi="IBM Plex Serif"/>
          <w:b/>
          <w:bCs/>
          <w:color w:val="293A55"/>
        </w:rPr>
        <w:t>1</w:t>
      </w:r>
      <w:r w:rsidR="007A074B" w:rsidRPr="001C3E9C">
        <w:rPr>
          <w:rFonts w:ascii="IBM Plex Serif" w:hAnsi="IBM Plex Serif"/>
          <w:b/>
          <w:bCs/>
          <w:color w:val="293A55"/>
        </w:rPr>
        <w:t>0</w:t>
      </w:r>
      <w:r w:rsidRPr="001C3E9C">
        <w:rPr>
          <w:rFonts w:ascii="IBM Plex Serif" w:hAnsi="IBM Plex Serif"/>
          <w:color w:val="293A55"/>
        </w:rPr>
        <w:t>) графік погашення відсотків за користування позикою та основної суми запозичення;</w:t>
      </w:r>
    </w:p>
    <w:p w:rsidR="00D7400D" w:rsidRPr="001C3E9C" w:rsidRDefault="00D7400D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420AA0" w:rsidRPr="001C3E9C" w:rsidRDefault="00420AA0" w:rsidP="00D7400D"/>
    <w:p w:rsidR="001E7ADF" w:rsidRPr="001C3E9C" w:rsidRDefault="001E7ADF" w:rsidP="00D7400D"/>
    <w:p w:rsidR="001E7ADF" w:rsidRPr="001C3E9C" w:rsidRDefault="001E7ADF" w:rsidP="00D7400D"/>
    <w:p w:rsidR="00420AA0" w:rsidRPr="001C3E9C" w:rsidRDefault="00420AA0" w:rsidP="00D7400D"/>
    <w:p w:rsidR="002E0C37" w:rsidRPr="001C3E9C" w:rsidRDefault="002E0C37" w:rsidP="00D7400D"/>
    <w:p w:rsidR="002E0C37" w:rsidRPr="001C3E9C" w:rsidRDefault="002E0C37" w:rsidP="00D7400D"/>
    <w:p w:rsidR="002E0C37" w:rsidRPr="001C3E9C" w:rsidRDefault="002E0C37" w:rsidP="00D7400D"/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9648D0" w:rsidRDefault="009648D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</w:p>
    <w:p w:rsidR="00420AA0" w:rsidRPr="001C3E9C" w:rsidRDefault="00420AA0" w:rsidP="00420AA0">
      <w:pPr>
        <w:shd w:val="clear" w:color="auto" w:fill="FFFFFF"/>
        <w:spacing w:after="0" w:line="240" w:lineRule="auto"/>
        <w:ind w:left="4111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lastRenderedPageBreak/>
        <w:t>Додаток 2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до Порядку розроблення, погодження та затвердження інвестиційних програм суб'єктів господарювання у сфері управління побутовими відходами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(підпункт 3 пункту 4 розділу II)</w:t>
      </w:r>
    </w:p>
    <w:p w:rsidR="00420AA0" w:rsidRPr="001C3E9C" w:rsidRDefault="00420AA0" w:rsidP="00420AA0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ІНФОРМАЦІЙНА КАРТКА</w:t>
      </w: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br/>
        <w:t>суб'єкта господарювання до інвестиційної програми на</w:t>
      </w:r>
    </w:p>
    <w:p w:rsidR="00193797" w:rsidRPr="001C3E9C" w:rsidRDefault="00420AA0" w:rsidP="00420AA0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2024</w:t>
      </w:r>
      <w:r w:rsidR="002E0C37" w:rsidRPr="001C3E9C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 xml:space="preserve"> рік</w:t>
      </w:r>
      <w:r w:rsidR="007B15D5" w:rsidRPr="001C3E9C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 xml:space="preserve"> (із змінами)</w:t>
      </w:r>
    </w:p>
    <w:p w:rsidR="00420AA0" w:rsidRPr="001C3E9C" w:rsidRDefault="00420AA0" w:rsidP="00420AA0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b/>
          <w:bCs/>
          <w:color w:val="293A55"/>
          <w:sz w:val="24"/>
          <w:szCs w:val="24"/>
          <w:lang w:eastAsia="uk-UA"/>
        </w:rPr>
        <w:t>Товариства з обмеженою відповідальністю «ГРІНЕРА СТРИЙ»</w:t>
      </w:r>
    </w:p>
    <w:p w:rsidR="00193797" w:rsidRPr="001C3E9C" w:rsidRDefault="00193797" w:rsidP="00420AA0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293A55"/>
          <w:sz w:val="30"/>
          <w:szCs w:val="30"/>
          <w:lang w:eastAsia="uk-UA"/>
        </w:rPr>
      </w:pPr>
    </w:p>
    <w:p w:rsidR="00420AA0" w:rsidRPr="001C3E9C" w:rsidRDefault="00420AA0" w:rsidP="00420AA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 xml:space="preserve">1. ЗАГАЛЬНА ІНФОРМАЦІЯ ПРО СУБ'ЄКТА </w:t>
      </w:r>
      <w:r w:rsidR="00193797" w:rsidRPr="001C3E9C">
        <w:rPr>
          <w:rFonts w:eastAsia="Times New Roman" w:cs="Times New Roman"/>
          <w:b/>
          <w:bCs/>
          <w:color w:val="293A55"/>
          <w:sz w:val="30"/>
          <w:szCs w:val="30"/>
          <w:lang w:eastAsia="uk-UA"/>
        </w:rPr>
        <w:t>Г</w:t>
      </w: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ОСПОДАРЮВАННЯ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9"/>
        <w:gridCol w:w="4702"/>
      </w:tblGrid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суб'єкта господарювання (для юридичних осіб) або прізвище, ім'я, по батькові (за наявності) (для фізичних осіб - підприємців)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93797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 «ГРІНЕРА СТРИЙ»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заснування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власності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приватна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(для юридичних осіб) або задеклароване/зареєстроване місце проживання (перебування) (для фізичних осіб - підприємців)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82402, Львівська обл., м. Стрий, 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Богдана Хмельницького, буд.32А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 ЄДРПОУ (для юридичних осіб) або реєстраційний номер </w:t>
            </w:r>
            <w:hyperlink r:id="rId4" w:tgtFrame="_blank" w:history="1">
              <w:r w:rsidRPr="001C3E9C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 (для фізичних осіб - підприємців)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44392300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 (за наявності) керівника суб'єкта господарювання, посада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Михалусь</w:t>
            </w:r>
            <w:proofErr w:type="spellEnd"/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Богдан Миронович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Телефон, електронна адреса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+380668508350, greenera.strij@gmail.com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Балансова вартість активів, тис. грн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Амортизаційні відрахування за останній звітний період, тис. грн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71626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501,0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Заборгованість зі сплати податків, зборів (обов'язкових платежів)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71626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420AA0" w:rsidRPr="001C3E9C" w:rsidRDefault="00420AA0" w:rsidP="00420AA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2. ЗАГАЛЬНА ІНФОРМАЦІЯ ПРО ІНВЕСТИЦІЙНУ ПРОГРАМУ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9"/>
        <w:gridCol w:w="4702"/>
      </w:tblGrid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Цілі інвестиційної програми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E7ADF" w:rsidRPr="001C3E9C">
              <w:rPr>
                <w:rFonts w:ascii="IBM Plex Serif" w:hAnsi="IBM Plex Serif"/>
                <w:color w:val="293A55"/>
                <w:shd w:val="clear" w:color="auto" w:fill="FFFFFF"/>
              </w:rPr>
              <w:t>придбання робіт, товарів та послуг, які спрямовані на реконструкцію, модернізацію та технічне переоснащення Стрийського полігону твердих побутових відходів, оновлення основних засобів, підвищення якості надання послуг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реалізації інвестиційної програми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91283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лютий </w:t>
            </w:r>
            <w:r w:rsidR="00A81DFD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2024 </w:t>
            </w:r>
            <w:r w:rsidR="00E91283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7B15D5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лютий 2025 року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Додаткова інформація щодо інвестиційної програми (у разі наявності)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20AA0" w:rsidRPr="001C3E9C" w:rsidRDefault="00420AA0" w:rsidP="00420AA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3. ВІДОМОСТІ ПРО ІНВЕСТИЦІЇ ЗА ІНВЕСТИЦІЙНОЮ ПРОГРАМОЮ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9"/>
        <w:gridCol w:w="4702"/>
      </w:tblGrid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обсяг інвестицій, тис. грн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81DFD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5 277 847,92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власні кошти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3 117 847,92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позичкові кошти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81DFD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160 000,00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залучені кошти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бюджетні кошти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420AA0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Напрямки використання інвестицій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(у % від загального обсягу інвестицій):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Розроблення </w:t>
            </w:r>
            <w:proofErr w:type="spellStart"/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проєктної</w:t>
            </w:r>
            <w:proofErr w:type="spellEnd"/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технічної документації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1922C9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651 800,00</w:t>
            </w:r>
            <w:r w:rsidR="00FC52B2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(50,24%)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робіт, товарів та послуг, спрямованих на оновлення основних фондів, будівництво, реконструкцію, модернізацію та технічне переоснащення об'єктів оброблення побутових відходів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57A9B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2 626 047,92</w:t>
            </w:r>
            <w:r w:rsidR="00FC52B2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(49,76%)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Підвищення ефективності оброблення відходів, оптимізація виробничих процесів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420AA0"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якості та обсягів надання послуг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20AA0" w:rsidRPr="001C3E9C" w:rsidRDefault="00420AA0" w:rsidP="00420AA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1C3E9C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4. ОЦІНКА ЕКОНОМІЧНОЇ ЕФЕКТИВНОСТІ ІНВЕСТИЦІЙНОЇ ПРОГРАМИ**</w:t>
      </w: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2"/>
        <w:gridCol w:w="3921"/>
        <w:gridCol w:w="2888"/>
      </w:tblGrid>
      <w:tr w:rsidR="00420AA0" w:rsidRPr="001C3E9C" w:rsidTr="001E7ADF">
        <w:tc>
          <w:tcPr>
            <w:tcW w:w="3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Чиста приведена вартість</w:t>
            </w:r>
          </w:p>
        </w:tc>
        <w:tc>
          <w:tcPr>
            <w:tcW w:w="1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1E7ADF">
        <w:tc>
          <w:tcPr>
            <w:tcW w:w="3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Внутрішня норма дохідності</w:t>
            </w:r>
          </w:p>
        </w:tc>
        <w:tc>
          <w:tcPr>
            <w:tcW w:w="1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1E7ADF">
        <w:tc>
          <w:tcPr>
            <w:tcW w:w="3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Дисконтований період окупності</w:t>
            </w:r>
          </w:p>
        </w:tc>
        <w:tc>
          <w:tcPr>
            <w:tcW w:w="1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0AA0" w:rsidRPr="001C3E9C" w:rsidTr="001E7ADF">
        <w:tc>
          <w:tcPr>
            <w:tcW w:w="3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Індекс прибутковості</w:t>
            </w:r>
          </w:p>
        </w:tc>
        <w:tc>
          <w:tcPr>
            <w:tcW w:w="1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E7ADF" w:rsidRPr="001C3E9C" w:rsidTr="001E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ADF" w:rsidRPr="001C3E9C" w:rsidRDefault="001E7ADF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E7ADF" w:rsidRPr="001C3E9C" w:rsidRDefault="001E7ADF" w:rsidP="001E7ADF">
            <w:pPr>
              <w:spacing w:after="0" w:line="240" w:lineRule="auto"/>
              <w:ind w:right="-122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Директор</w:t>
            </w:r>
          </w:p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посади керівника</w:t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суб'єкта господарювання)</w:t>
            </w:r>
          </w:p>
        </w:tc>
        <w:tc>
          <w:tcPr>
            <w:tcW w:w="19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420AA0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 w:rsidR="001E7ADF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</w:t>
            </w: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0AA0" w:rsidRPr="001C3E9C" w:rsidRDefault="001E7ADF" w:rsidP="0042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 МИХАЛУСЬ</w:t>
            </w:r>
            <w:r w:rsidR="00420AA0" w:rsidRPr="001C3E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20AA0" w:rsidRPr="001C3E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ім'я ПРІЗВИЩЕ)</w:t>
            </w:r>
          </w:p>
        </w:tc>
      </w:tr>
    </w:tbl>
    <w:p w:rsidR="00420AA0" w:rsidRPr="001C3E9C" w:rsidRDefault="00857A9B" w:rsidP="00420AA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31 липня</w:t>
      </w:r>
      <w:r w:rsidR="007B15D5"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2024</w:t>
      </w:r>
      <w:r w:rsidR="00420AA0"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 xml:space="preserve"> р.</w:t>
      </w:r>
    </w:p>
    <w:p w:rsidR="00420AA0" w:rsidRPr="001C3E9C" w:rsidRDefault="00420AA0" w:rsidP="00420AA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____________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* </w:t>
      </w:r>
      <w:r w:rsidRPr="001C3E9C">
        <w:rPr>
          <w:rFonts w:ascii="IBM Plex Serif" w:eastAsia="Times New Roman" w:hAnsi="IBM Plex Serif" w:cs="Times New Roman"/>
          <w:color w:val="293A55"/>
          <w:sz w:val="20"/>
          <w:szCs w:val="20"/>
          <w:lang w:eastAsia="uk-UA"/>
        </w:rPr>
        <w:t>Для фізичних осіб, які через свої релігійні переконання відмовилися від прийняття реєстраційного номера</w:t>
      </w: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  <w:hyperlink r:id="rId5" w:tgtFrame="_blank" w:history="1">
        <w:r w:rsidRPr="001C3E9C">
          <w:rPr>
            <w:rFonts w:ascii="IBM Plex Serif" w:eastAsia="Times New Roman" w:hAnsi="IBM Plex Serif" w:cs="Times New Roman"/>
            <w:color w:val="00ADFA"/>
            <w:sz w:val="20"/>
            <w:szCs w:val="20"/>
            <w:lang w:eastAsia="uk-UA"/>
          </w:rPr>
          <w:t>облікової картки платника податків</w:t>
        </w:r>
      </w:hyperlink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 </w:t>
      </w:r>
      <w:r w:rsidRPr="001C3E9C">
        <w:rPr>
          <w:rFonts w:ascii="IBM Plex Serif" w:eastAsia="Times New Roman" w:hAnsi="IBM Plex Serif" w:cs="Times New Roman"/>
          <w:color w:val="293A55"/>
          <w:sz w:val="20"/>
          <w:szCs w:val="20"/>
          <w:lang w:eastAsia="uk-UA"/>
        </w:rPr>
        <w:t>та повідомили про це відповідний контролюючий орган і мають відмітку у паспорті, зазначаються серія (за наявності) та номер паспорта.</w:t>
      </w:r>
    </w:p>
    <w:p w:rsidR="00420AA0" w:rsidRPr="001C3E9C" w:rsidRDefault="00420AA0" w:rsidP="00420AA0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r w:rsidRPr="001C3E9C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** </w:t>
      </w:r>
      <w:r w:rsidRPr="001C3E9C">
        <w:rPr>
          <w:rFonts w:ascii="IBM Plex Serif" w:eastAsia="Times New Roman" w:hAnsi="IBM Plex Serif" w:cs="Times New Roman"/>
          <w:color w:val="293A55"/>
          <w:sz w:val="20"/>
          <w:szCs w:val="20"/>
          <w:lang w:eastAsia="uk-UA"/>
        </w:rPr>
        <w:t>Показники оцінки ефективності інвестиційної програми розраховуються за результатами аналізу фінансової моделі інвестиційної програми, яка є невід'ємною частиною оцінки.</w:t>
      </w:r>
    </w:p>
    <w:p w:rsidR="00420AA0" w:rsidRPr="001C3E9C" w:rsidRDefault="00420AA0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F42DF8" w:rsidRPr="001C3E9C" w:rsidRDefault="00F42DF8" w:rsidP="00D7400D"/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9648D0" w:rsidRDefault="009648D0" w:rsidP="00F42DF8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</w:p>
    <w:p w:rsidR="00F42DF8" w:rsidRPr="009648D0" w:rsidRDefault="00F42DF8" w:rsidP="00F42D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30"/>
          <w:szCs w:val="30"/>
          <w:lang w:eastAsia="uk-UA"/>
        </w:rPr>
      </w:pPr>
      <w:r w:rsidRPr="009648D0">
        <w:rPr>
          <w:rFonts w:ascii="Times New Roman" w:eastAsia="Times New Roman" w:hAnsi="Times New Roman" w:cs="Times New Roman"/>
          <w:b/>
          <w:bCs/>
          <w:color w:val="293A55"/>
          <w:sz w:val="30"/>
          <w:szCs w:val="30"/>
          <w:lang w:eastAsia="uk-UA"/>
        </w:rPr>
        <w:t>Пояснювальна записка</w:t>
      </w:r>
    </w:p>
    <w:p w:rsidR="00F42DF8" w:rsidRPr="009648D0" w:rsidRDefault="00C839A2" w:rsidP="00C839A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Товариство з обмеженою відповідальністю «ГРІНЕРА СТРИЙ» засноване у 2021 році</w:t>
      </w:r>
      <w:r w:rsidR="00CF505D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та зареєстроване у місті Стрий, Львівської області по вулиці Богдана Хмельницького, 32А</w:t>
      </w: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. 12 травня 2021 року, на виконання рішення Стрийської міської ради від 29 квітня 2021 року №320 та рішення виконавчого комітету Стрийської міської ради від 28 квітня 2021 року №139 між Товариством з обмеженою відповідальністю ГРІНЕРА СТРИЙ» та Стрийським міським комбінатом комунальних підприємств укладено договір управління Стрийським полігоном твердих побутових відходів. Як вже неодноразово могли переконатись і мешканці міста Стрий і представники органів місцевого самоврядування ТОВ «ГРІНЕРА СТРИЙ» докорінно змінила підхід до операцій з видалення побутових відходів на Стрийському полігоні твердих побутових відходів та впроваджує у своїй роботі європейські та американські підходи до таких операцій. Керівник ТОВ «ГРІНЕРА СТРИЙ» більше 12 років працював в Сполучених Штатах Америки саме у сфері видалення побутових відходів, а тепер втілює всі здобуті знання та навички </w:t>
      </w:r>
      <w:r w:rsidR="00CF505D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у рідній Україні, задля </w:t>
      </w:r>
      <w:r w:rsidR="001922C9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покращення</w:t>
      </w:r>
      <w:r w:rsidR="00CF505D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екологічної системи нашої держави</w:t>
      </w:r>
      <w:r w:rsidR="001922C9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.</w:t>
      </w:r>
    </w:p>
    <w:p w:rsidR="00CF505D" w:rsidRPr="009648D0" w:rsidRDefault="00494615" w:rsidP="00C839A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Водночас, у зв’язку із </w:t>
      </w:r>
      <w:r w:rsidR="00925C4E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необхідністю встановлення тарифу на видалення побутових відходів та </w:t>
      </w: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затвердженням Порядку розроблення, погодження та затвердження інвестиційних програм суб’єктів господарювання у сфері управління побутовими відходами</w:t>
      </w:r>
      <w:r w:rsidR="00925C4E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, ТОВ «ГРІНЕРА СТРИЙ» необхідно затвердити інвестиційну програму для реалізації заходів з оновлення основних засобів, реконструкції, модернізації, технічного переоснащення Стрийського полігону твердих побутових відходів. </w:t>
      </w:r>
    </w:p>
    <w:p w:rsidR="00214C27" w:rsidRPr="009648D0" w:rsidRDefault="00214C27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1922C9" w:rsidRPr="009648D0" w:rsidRDefault="001922C9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5507B2" w:rsidRPr="009648D0" w:rsidRDefault="005507B2" w:rsidP="005507B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Опис заходів інвестиційної програми на планований та прогнозний періоди</w:t>
      </w:r>
      <w:r w:rsidR="009403D9"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;</w:t>
      </w:r>
    </w:p>
    <w:p w:rsidR="00214C27" w:rsidRPr="009648D0" w:rsidRDefault="00214C27" w:rsidP="005507B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Обґрунтування інвестиційних витрат за їх складовими;</w:t>
      </w:r>
    </w:p>
    <w:p w:rsidR="009403D9" w:rsidRPr="009648D0" w:rsidRDefault="009403D9" w:rsidP="005507B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 xml:space="preserve">Обґрунтування вартості запланованих заходів інвестиційної програми з наданням комерційних пропозицій (не менше двох) та/або посилання на тендери, що відбулися через систему </w:t>
      </w:r>
      <w:proofErr w:type="spellStart"/>
      <w:r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Prozorro</w:t>
      </w:r>
      <w:proofErr w:type="spellEnd"/>
      <w:r w:rsidRPr="009648D0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 xml:space="preserve"> на аналогічні товари, роботи чи послуги;</w:t>
      </w:r>
    </w:p>
    <w:p w:rsidR="00120446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1. 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З метою покращення роботи Стрийського полігону твердих побутових відходів необхідно здійснити купівлю </w:t>
      </w:r>
      <w:r w:rsidR="00857A9B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фронтального навантажувача одноківшового, гусеничн</w:t>
      </w:r>
      <w:r w:rsidR="00831AFF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ої</w:t>
      </w:r>
      <w:r w:rsidR="00857A9B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марки САТ, модель 963С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вартістю 2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 5</w:t>
      </w:r>
      <w:r w:rsidR="00857A9B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12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000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,00 грн (два мільйони 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п’ятсот </w:t>
      </w:r>
      <w:r w:rsidR="00857A9B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дванадцять тисяч гривень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00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коп.).</w:t>
      </w:r>
      <w:r w:rsidR="00AB1D1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Вартість підтверджує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ться отриман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ою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комерційн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ою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пропозиці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єю</w:t>
      </w:r>
      <w:r w:rsidR="00C96C3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, накладною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та </w:t>
      </w:r>
      <w:bookmarkStart w:id="1" w:name="_Hlk154693166"/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посиланнями на тендери, що відбулися через систему </w:t>
      </w:r>
      <w:proofErr w:type="spellStart"/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Prozorro</w:t>
      </w:r>
      <w:bookmarkEnd w:id="1"/>
      <w:proofErr w:type="spellEnd"/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(UA-2020-08-05-004403-a, UA-2020-04-15-000012-c).</w:t>
      </w: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8601D1" w:rsidRPr="009648D0" w:rsidRDefault="005507B2" w:rsidP="008601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2. 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З метою уникнення форс-мажорних ситуацій необхідно здійснити перенесення напірної каналізації, яка проходить по території Стрийського полігону твердих побутових відходів. Відповідно, необхідно розробити проектно-кошторисну документацію по перенесенню напірної каналізації діаметром 300мм і довжиною 1,35 км. Вартість вказаної проектно кошторисної документації становить 143 800,00 грн (сто сорок три тисячі вісімсот гривень 00 коп.). Крім цього, для можливості розроблення проектно-кошторисної документації необхідно провести геодезичну зйомку та геологію вартість яких становить 58 000,00 грн (п’ятдесят вісім тисяч гривень 00 коп.). 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Вартість підтверджується отриманими комерційними пропозиціями. </w:t>
      </w:r>
    </w:p>
    <w:p w:rsidR="00120446" w:rsidRPr="009648D0" w:rsidRDefault="00120446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8601D1" w:rsidRPr="009648D0" w:rsidRDefault="005507B2" w:rsidP="008601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3. 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Для належного приймання побутових відходів необхідно здійснити перенесення високовольтної лінії електропередач</w:t>
      </w:r>
      <w:r w:rsidR="0083029E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(двоколова ПЛ-110кВ)</w:t>
      </w:r>
      <w:r w:rsidR="0012044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, яка проходить через Стрийський полігон твердих побутових відходів. </w:t>
      </w:r>
      <w:r w:rsidR="0083029E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Для можливості проведення таких робіт необхідно розробити проектно-кошторисну документацію. Вартість проектно-кошторисної документації на перенесення високовольтної лінії електропередач (двоколова ПЛ-110кВ) становить 560 000,00 грн (п’ятсот шістдесят тисяч гривень 00 коп.). 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Вартість підтверджується отриманими комерційними пропозиціями. </w:t>
      </w:r>
    </w:p>
    <w:p w:rsidR="00120446" w:rsidRPr="009648D0" w:rsidRDefault="00120446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8601D1" w:rsidRPr="009648D0" w:rsidRDefault="0083029E" w:rsidP="008601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4. Для послідовної, системної та належної роботи Стрийського полігону твердих побутових відходів виникла необхідність коригування </w:t>
      </w:r>
      <w:r w:rsidR="00CB5C9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проектно-кошторисної документації на реконструкцію полігону. Вартість такої проектно-кошторисної документації становить 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на реконструкцію Стрийського полігону твердих побутових відходів становить1</w:t>
      </w:r>
      <w:r w:rsidR="00B73740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4</w:t>
      </w:r>
      <w:r w:rsidR="00AB1D16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00 000,00 грн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(один мільйон </w:t>
      </w:r>
      <w:r w:rsidR="00B73740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чотириста</w:t>
      </w:r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тисяч гривень 00 коп.). Вартість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підтверджуєтьсяпосиланнями на тендери, що відбулися через систему </w:t>
      </w:r>
      <w:proofErr w:type="spellStart"/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Prozorro</w:t>
      </w:r>
      <w:proofErr w:type="spellEnd"/>
      <w:r w:rsidR="008601D1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. </w:t>
      </w:r>
      <w:r w:rsidR="00C36CAA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(UA-2019-11-08-002322-b, UA-2023-04-07-005970-a).</w:t>
      </w:r>
    </w:p>
    <w:p w:rsidR="00B73740" w:rsidRPr="009648D0" w:rsidRDefault="00B73740" w:rsidP="008601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B73740" w:rsidRPr="009648D0" w:rsidRDefault="00B73740" w:rsidP="008601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5. З метою дотримання вимог екологічного законодавства України та значними змінами у роботі полігону необхідно провести оцінку впливу на довкілля Стрийського полігону твердих побутових відходів. Вартість таких робіть становить 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490</w:t>
      </w: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 000,00 грн (</w:t>
      </w:r>
      <w:r w:rsidR="007B15D5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чотириста дев’яносто тисяч гривень 00</w:t>
      </w: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коп.). Вартість підтверджується посиланнями на тендери, що відбулися через систему </w:t>
      </w:r>
      <w:proofErr w:type="spellStart"/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Prozorro</w:t>
      </w:r>
      <w:proofErr w:type="spellEnd"/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(UA-2021-05-28-002008-c, UA-2023-10-02-010331-a, UA-2019-04-05-001665-b)</w:t>
      </w:r>
    </w:p>
    <w:p w:rsidR="005507B2" w:rsidRPr="009648D0" w:rsidRDefault="005507B2" w:rsidP="00CF505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1922C9" w:rsidRPr="009648D0" w:rsidRDefault="001922C9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9648D0" w:rsidRDefault="009648D0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</w:p>
    <w:p w:rsidR="00461A92" w:rsidRPr="009648D0" w:rsidRDefault="00461A92" w:rsidP="00461A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b/>
          <w:bCs/>
          <w:color w:val="293A55"/>
          <w:sz w:val="24"/>
          <w:szCs w:val="24"/>
          <w:lang w:eastAsia="uk-UA"/>
        </w:rPr>
        <w:lastRenderedPageBreak/>
        <w:t>Техніко-економічне обґрунтування необхідності отримання кредиту</w:t>
      </w:r>
    </w:p>
    <w:tbl>
      <w:tblPr>
        <w:tblStyle w:val="a3"/>
        <w:tblW w:w="0" w:type="auto"/>
        <w:tblLook w:val="04A0"/>
      </w:tblPr>
      <w:tblGrid>
        <w:gridCol w:w="5097"/>
        <w:gridCol w:w="5098"/>
      </w:tblGrid>
      <w:tr w:rsidR="00461A92" w:rsidRPr="009648D0" w:rsidTr="00461A92">
        <w:tc>
          <w:tcPr>
            <w:tcW w:w="5097" w:type="dxa"/>
          </w:tcPr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Яка саме сума фінансування потрібна?</w:t>
            </w:r>
          </w:p>
        </w:tc>
        <w:tc>
          <w:tcPr>
            <w:tcW w:w="5098" w:type="dxa"/>
          </w:tcPr>
          <w:p w:rsidR="00461A92" w:rsidRPr="009648D0" w:rsidRDefault="00A81DFD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2 </w:t>
            </w:r>
            <w:r w:rsidR="00C96C36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160</w:t>
            </w: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 000,00</w:t>
            </w:r>
            <w:r w:rsidR="00071E6C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 гривень.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Бажаний строк фінансування</w:t>
            </w:r>
          </w:p>
        </w:tc>
        <w:tc>
          <w:tcPr>
            <w:tcW w:w="5098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12 місяців.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Графік погашення</w:t>
            </w:r>
          </w:p>
        </w:tc>
        <w:tc>
          <w:tcPr>
            <w:tcW w:w="5098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Рівними частинами (класичний).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На які саме цілі необхідне фінансування?</w:t>
            </w:r>
          </w:p>
        </w:tc>
        <w:tc>
          <w:tcPr>
            <w:tcW w:w="5098" w:type="dxa"/>
          </w:tcPr>
          <w:p w:rsidR="00461A92" w:rsidRPr="009648D0" w:rsidRDefault="00036B05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Придбання основних засобів - </w:t>
            </w:r>
            <w:r w:rsidR="00C96C36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фронтального навантажувача одноківшового, гусеничн</w:t>
            </w:r>
            <w:r w:rsidR="00831AFF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ої</w:t>
            </w:r>
            <w:r w:rsidR="00C96C36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 марки САТ, модель 963С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Вкажіть вид основних засобів, які будуть придбані за рахунок кредитних коштів та </w:t>
            </w:r>
            <w:r w:rsidR="005D07BC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ї</w:t>
            </w: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х стислий опис</w:t>
            </w:r>
          </w:p>
        </w:tc>
        <w:tc>
          <w:tcPr>
            <w:tcW w:w="5098" w:type="dxa"/>
          </w:tcPr>
          <w:p w:rsidR="00036B05" w:rsidRPr="009648D0" w:rsidRDefault="00036B05" w:rsidP="00036B05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(обладнання/СГТ/автотранспорт):</w:t>
            </w:r>
          </w:p>
          <w:p w:rsidR="00461A92" w:rsidRPr="009648D0" w:rsidRDefault="00C96C36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фронтальний навантажувач одноківшовий, гусеничний марки САТ, модель 963С</w:t>
            </w:r>
          </w:p>
        </w:tc>
      </w:tr>
      <w:tr w:rsidR="00461A92" w:rsidRPr="009648D0" w:rsidTr="00461A92">
        <w:tc>
          <w:tcPr>
            <w:tcW w:w="5097" w:type="dxa"/>
          </w:tcPr>
          <w:p w:rsidR="00071E6C" w:rsidRPr="009648D0" w:rsidRDefault="00071E6C" w:rsidP="00071E6C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 якій страховій компанії плануєте застрахувати</w:t>
            </w:r>
          </w:p>
          <w:p w:rsidR="00071E6C" w:rsidRPr="009648D0" w:rsidRDefault="00071E6C" w:rsidP="00071E6C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заставу (основні засоби, які будуть придбані за</w:t>
            </w:r>
          </w:p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рахунок кредитних коштів)?</w:t>
            </w:r>
          </w:p>
        </w:tc>
        <w:tc>
          <w:tcPr>
            <w:tcW w:w="5098" w:type="dxa"/>
          </w:tcPr>
          <w:p w:rsidR="00461A92" w:rsidRPr="009648D0" w:rsidRDefault="00036B05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відсутня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Варіант страхування:</w:t>
            </w:r>
          </w:p>
        </w:tc>
        <w:tc>
          <w:tcPr>
            <w:tcW w:w="5098" w:type="dxa"/>
          </w:tcPr>
          <w:p w:rsidR="00461A92" w:rsidRPr="009648D0" w:rsidRDefault="00CF0034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Заставна вартість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Вкажіть ринкову вартість основних засобів, які будуть придбані за рахунок кредитних коштів(приблизно)</w:t>
            </w:r>
          </w:p>
        </w:tc>
        <w:tc>
          <w:tcPr>
            <w:tcW w:w="5098" w:type="dxa"/>
          </w:tcPr>
          <w:p w:rsidR="00CF0034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2</w:t>
            </w:r>
            <w:r w:rsidR="00C96C36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 512 000,00</w:t>
            </w: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 грн</w:t>
            </w:r>
          </w:p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Вкажіть, хто буде поручителем(-ями)</w:t>
            </w:r>
          </w:p>
        </w:tc>
        <w:tc>
          <w:tcPr>
            <w:tcW w:w="5098" w:type="dxa"/>
          </w:tcPr>
          <w:p w:rsidR="00461A92" w:rsidRPr="009648D0" w:rsidRDefault="000A17AA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proofErr w:type="spellStart"/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Іванців</w:t>
            </w:r>
            <w:proofErr w:type="spellEnd"/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 Марія Ярославівна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ІПН:</w:t>
            </w:r>
          </w:p>
        </w:tc>
        <w:tc>
          <w:tcPr>
            <w:tcW w:w="5098" w:type="dxa"/>
          </w:tcPr>
          <w:p w:rsidR="00461A92" w:rsidRPr="009648D0" w:rsidRDefault="000A17AA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2899312960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071E6C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Вкажіть параметри майна, яке є у власності поручителя(</w:t>
            </w:r>
            <w:proofErr w:type="spellStart"/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-ів</w:t>
            </w:r>
            <w:proofErr w:type="spellEnd"/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):</w:t>
            </w:r>
          </w:p>
        </w:tc>
        <w:tc>
          <w:tcPr>
            <w:tcW w:w="5098" w:type="dxa"/>
          </w:tcPr>
          <w:p w:rsidR="00CF0034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Транспорт:</w:t>
            </w:r>
          </w:p>
          <w:p w:rsidR="00461A92" w:rsidRPr="009648D0" w:rsidRDefault="00CF0034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val="ru-RU"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• марка: </w:t>
            </w:r>
            <w:r w:rsidR="000A17AA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val="en-US" w:eastAsia="uk-UA"/>
              </w:rPr>
              <w:t>NISSAN</w:t>
            </w: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, модель: </w:t>
            </w:r>
            <w:r w:rsidR="000A17AA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val="en-US" w:eastAsia="uk-UA"/>
              </w:rPr>
              <w:t>LEAF</w:t>
            </w: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, рік випуску: 20</w:t>
            </w:r>
            <w:r w:rsidR="000A17AA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val="ru-RU" w:eastAsia="uk-UA"/>
              </w:rPr>
              <w:t>21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Скільки ще співробітників буде прийнято у бізнес після отримання фінансування?</w:t>
            </w:r>
          </w:p>
        </w:tc>
        <w:tc>
          <w:tcPr>
            <w:tcW w:w="5098" w:type="dxa"/>
          </w:tcPr>
          <w:p w:rsidR="00461A92" w:rsidRPr="009648D0" w:rsidRDefault="00CF0034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6</w:t>
            </w:r>
          </w:p>
        </w:tc>
      </w:tr>
      <w:tr w:rsidR="00461A92" w:rsidRPr="009648D0" w:rsidTr="00461A92">
        <w:tc>
          <w:tcPr>
            <w:tcW w:w="5097" w:type="dxa"/>
          </w:tcPr>
          <w:p w:rsidR="00461A92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Які плануються обсяги продажів бізнесу на рік після отримання фінансування?</w:t>
            </w:r>
          </w:p>
        </w:tc>
        <w:tc>
          <w:tcPr>
            <w:tcW w:w="5098" w:type="dxa"/>
          </w:tcPr>
          <w:p w:rsidR="00CF0034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36700000 грн</w:t>
            </w:r>
          </w:p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</w:p>
        </w:tc>
      </w:tr>
      <w:tr w:rsidR="00461A92" w:rsidRPr="009648D0" w:rsidTr="00461A92">
        <w:tc>
          <w:tcPr>
            <w:tcW w:w="5097" w:type="dxa"/>
          </w:tcPr>
          <w:p w:rsidR="00CF0034" w:rsidRPr="009648D0" w:rsidRDefault="00CF0034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Яка планується кількість покупців на рік після</w:t>
            </w:r>
          </w:p>
          <w:p w:rsidR="00461A92" w:rsidRPr="009648D0" w:rsidRDefault="00CF0034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отримання фінансування?</w:t>
            </w:r>
          </w:p>
        </w:tc>
        <w:tc>
          <w:tcPr>
            <w:tcW w:w="5098" w:type="dxa"/>
          </w:tcPr>
          <w:p w:rsidR="00CF0034" w:rsidRPr="009648D0" w:rsidRDefault="00C96C36" w:rsidP="00CF0034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1</w:t>
            </w:r>
            <w:r w:rsidR="00CF0034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 xml:space="preserve">0 </w:t>
            </w:r>
            <w:proofErr w:type="spellStart"/>
            <w:r w:rsidR="00CF0034" w:rsidRPr="009648D0"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  <w:t>шт</w:t>
            </w:r>
            <w:proofErr w:type="spellEnd"/>
          </w:p>
          <w:p w:rsidR="00461A92" w:rsidRPr="009648D0" w:rsidRDefault="00461A92" w:rsidP="00461A92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293A55"/>
                <w:sz w:val="24"/>
                <w:szCs w:val="24"/>
                <w:lang w:eastAsia="uk-UA"/>
              </w:rPr>
            </w:pPr>
          </w:p>
        </w:tc>
      </w:tr>
    </w:tbl>
    <w:p w:rsidR="00461A92" w:rsidRPr="009648D0" w:rsidRDefault="00461A92" w:rsidP="00461A9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1922C9" w:rsidRPr="009648D0" w:rsidRDefault="001922C9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1922C9" w:rsidRPr="009648D0" w:rsidRDefault="001922C9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1922C9" w:rsidRPr="009648D0" w:rsidRDefault="001922C9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9648D0" w:rsidRDefault="009648D0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9648D0" w:rsidRDefault="009648D0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9648D0" w:rsidRDefault="009648D0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Графік погашення відсотків за користування </w:t>
      </w:r>
      <w:r w:rsidR="001922C9"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>кредитом</w:t>
      </w:r>
      <w:r w:rsidRPr="009648D0"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  <w:t xml:space="preserve"> та основної суми запозичення</w:t>
      </w:r>
    </w:p>
    <w:tbl>
      <w:tblPr>
        <w:tblW w:w="10167" w:type="dxa"/>
        <w:tblLook w:val="04A0"/>
      </w:tblPr>
      <w:tblGrid>
        <w:gridCol w:w="1550"/>
        <w:gridCol w:w="1984"/>
        <w:gridCol w:w="2126"/>
        <w:gridCol w:w="2410"/>
        <w:gridCol w:w="2097"/>
      </w:tblGrid>
      <w:tr w:rsidR="0072564D" w:rsidRPr="009648D0" w:rsidTr="0072564D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2 160 000,00</w:t>
            </w:r>
          </w:p>
        </w:tc>
      </w:tr>
      <w:tr w:rsidR="0072564D" w:rsidRPr="009648D0" w:rsidTr="0072564D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тіло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відсотки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платіж загалом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залишок боргу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90 052,53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8 347,47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2 069 947,47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12 074,69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102 074,69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1 979 947,47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90 017,51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11 917,18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101 934,69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1 889 929,96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90 052,53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10 972,07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101 024,60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1 799 877,43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10 849,26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100 849,26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1 709 877,43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89 877,43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10 306,76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100 184,19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1 620 000,00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9 631,23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99 631,23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1 530 000,00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9 096,16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99 096,16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1 440 000,00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8 284,93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98 284,93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1 350 000,00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8 026,03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98 026,03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1 260 000,00</w:t>
            </w:r>
          </w:p>
        </w:tc>
      </w:tr>
      <w:tr w:rsidR="0072564D" w:rsidRPr="009648D0" w:rsidTr="0072564D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7 249,32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97 249,32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1 170 000,00</w:t>
            </w:r>
          </w:p>
        </w:tc>
      </w:tr>
      <w:tr w:rsidR="0072564D" w:rsidRPr="009648D0" w:rsidTr="0072564D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7 292,82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1 177 292,82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</w:tr>
      <w:tr w:rsidR="0072564D" w:rsidRPr="009648D0" w:rsidTr="0072564D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 за 2024 рік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2 160 000,00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114 047,92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2 274 047,92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64D" w:rsidRPr="009648D0" w:rsidRDefault="0072564D" w:rsidP="0072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648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</w:tbl>
    <w:p w:rsidR="00CF0034" w:rsidRPr="009648D0" w:rsidRDefault="00CF0034" w:rsidP="00CF003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93A55"/>
          <w:sz w:val="24"/>
          <w:szCs w:val="24"/>
          <w:lang w:eastAsia="uk-UA"/>
        </w:rPr>
      </w:pPr>
    </w:p>
    <w:p w:rsidR="00214C27" w:rsidRDefault="00214C27" w:rsidP="00CF0034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color w:val="293A55"/>
          <w:sz w:val="24"/>
          <w:szCs w:val="24"/>
          <w:lang w:eastAsia="uk-UA"/>
        </w:rPr>
      </w:pPr>
    </w:p>
    <w:sectPr w:rsidR="00214C27" w:rsidSect="001937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charset w:val="CC"/>
    <w:family w:val="roman"/>
    <w:pitch w:val="variable"/>
    <w:sig w:usb0="00000001" w:usb1="5000203B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400D"/>
    <w:rsid w:val="00036B05"/>
    <w:rsid w:val="00071E6C"/>
    <w:rsid w:val="000A17AA"/>
    <w:rsid w:val="00102F4F"/>
    <w:rsid w:val="00120446"/>
    <w:rsid w:val="001922C9"/>
    <w:rsid w:val="00193797"/>
    <w:rsid w:val="001C3E9C"/>
    <w:rsid w:val="001E7ADF"/>
    <w:rsid w:val="00214C27"/>
    <w:rsid w:val="00271D77"/>
    <w:rsid w:val="002E0C37"/>
    <w:rsid w:val="002F3CBF"/>
    <w:rsid w:val="00420AA0"/>
    <w:rsid w:val="00461A92"/>
    <w:rsid w:val="004930EF"/>
    <w:rsid w:val="00494615"/>
    <w:rsid w:val="004E32F4"/>
    <w:rsid w:val="005507B2"/>
    <w:rsid w:val="005D07BC"/>
    <w:rsid w:val="0072564D"/>
    <w:rsid w:val="007A074B"/>
    <w:rsid w:val="007B15D5"/>
    <w:rsid w:val="0083029E"/>
    <w:rsid w:val="00831AFF"/>
    <w:rsid w:val="00857A9B"/>
    <w:rsid w:val="008601D1"/>
    <w:rsid w:val="00925C4E"/>
    <w:rsid w:val="009403D9"/>
    <w:rsid w:val="009648D0"/>
    <w:rsid w:val="009F7B28"/>
    <w:rsid w:val="00A10738"/>
    <w:rsid w:val="00A81DFD"/>
    <w:rsid w:val="00AB1D16"/>
    <w:rsid w:val="00AD61A0"/>
    <w:rsid w:val="00B73740"/>
    <w:rsid w:val="00BF277E"/>
    <w:rsid w:val="00C36CAA"/>
    <w:rsid w:val="00C71626"/>
    <w:rsid w:val="00C839A2"/>
    <w:rsid w:val="00C96C36"/>
    <w:rsid w:val="00CB5C96"/>
    <w:rsid w:val="00CF0034"/>
    <w:rsid w:val="00CF505D"/>
    <w:rsid w:val="00D7400D"/>
    <w:rsid w:val="00DB27E5"/>
    <w:rsid w:val="00E91283"/>
    <w:rsid w:val="00EF529A"/>
    <w:rsid w:val="00F42DF8"/>
    <w:rsid w:val="00FC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D7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46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4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re31174?ed=2023_06_30&amp;an=844" TargetMode="External"/><Relationship Id="rId4" Type="http://schemas.openxmlformats.org/officeDocument/2006/relationships/hyperlink" Target="https://ips.ligazakon.net/document/view/re31174?ed=2023_06_30&amp;an=84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8138</Words>
  <Characters>4640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Вітів</dc:creator>
  <cp:keywords/>
  <dc:description/>
  <cp:lastModifiedBy>HP</cp:lastModifiedBy>
  <cp:revision>31</cp:revision>
  <dcterms:created xsi:type="dcterms:W3CDTF">2023-12-03T10:57:00Z</dcterms:created>
  <dcterms:modified xsi:type="dcterms:W3CDTF">2024-09-06T08:42:00Z</dcterms:modified>
</cp:coreProperties>
</file>