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11.gif" ContentType="image/gif"/>
  <Override PartName="/word/media/image6.gif" ContentType="image/gif"/>
  <Override PartName="/word/media/image2.gif" ContentType="image/gif"/>
  <Override PartName="/word/media/image3.gif" ContentType="image/gif"/>
  <Override PartName="/word/media/image4.gif" ContentType="image/gif"/>
  <Override PartName="/word/media/image10.gif" ContentType="image/gif"/>
  <Override PartName="/word/media/image5.gif" ContentType="image/gif"/>
  <Override PartName="/word/media/image7.gif" ContentType="image/gif"/>
  <Override PartName="/word/media/image12.gif" ContentType="image/gif"/>
  <Override PartName="/word/media/image8.gif" ContentType="image/gif"/>
  <Override PartName="/word/media/image13.gif" ContentType="image/gif"/>
  <Override PartName="/word/media/image9.gif" ContentType="image/gif"/>
  <Override PartName="/word/media/image14.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82" w:after="273"/>
        <w:ind w:left="273" w:right="273" w:hanging="0"/>
        <w:jc w:val="center"/>
        <w:rPr>
          <w:rFonts w:ascii="Times New Roman" w:hAnsi="Times New Roman" w:eastAsia="Times New Roman" w:cs="Times New Roman"/>
          <w:b/>
          <w:bCs/>
          <w:color w:val="333333"/>
          <w:sz w:val="28"/>
          <w:szCs w:val="28"/>
        </w:rPr>
      </w:pPr>
      <w:r>
        <w:rPr>
          <w:rFonts w:eastAsia="Times New Roman" w:cs="Times New Roman" w:ascii="Times New Roman" w:hAnsi="Times New Roman"/>
          <w:b/>
          <w:bCs/>
          <w:color w:val="333333"/>
          <w:sz w:val="28"/>
          <w:szCs w:val="28"/>
        </w:rPr>
      </w:r>
      <w:bookmarkStart w:id="0" w:name="_GoBack"/>
      <w:bookmarkStart w:id="1" w:name="_GoBack"/>
      <w:bookmarkEnd w:id="1"/>
    </w:p>
    <w:p>
      <w:pPr>
        <w:pStyle w:val="Normal"/>
        <w:spacing w:before="0" w:after="0"/>
        <w:ind w:left="4956" w:hanging="0"/>
        <w:rPr>
          <w:rFonts w:ascii="Times New Roman" w:hAnsi="Times New Roman" w:cs="Times New Roman"/>
          <w:b/>
          <w:strike/>
          <w:color w:val="FF0000"/>
          <w:sz w:val="24"/>
          <w:szCs w:val="24"/>
        </w:rPr>
      </w:pPr>
      <w:r>
        <w:rPr>
          <w:rFonts w:cs="Times New Roman" w:ascii="Times New Roman" w:hAnsi="Times New Roman"/>
          <w:b/>
          <w:sz w:val="24"/>
          <w:szCs w:val="24"/>
        </w:rPr>
        <w:t xml:space="preserve">Додаток </w:t>
      </w:r>
    </w:p>
    <w:p>
      <w:pPr>
        <w:pStyle w:val="Normal"/>
        <w:spacing w:before="0" w:after="0"/>
        <w:ind w:left="4956" w:hanging="0"/>
        <w:rPr>
          <w:rFonts w:ascii="Times New Roman" w:hAnsi="Times New Roman" w:cs="Times New Roman"/>
          <w:b/>
          <w:sz w:val="24"/>
          <w:szCs w:val="24"/>
        </w:rPr>
      </w:pPr>
      <w:r>
        <w:rPr>
          <w:rFonts w:cs="Times New Roman" w:ascii="Times New Roman" w:hAnsi="Times New Roman"/>
          <w:b/>
          <w:sz w:val="24"/>
          <w:szCs w:val="24"/>
        </w:rPr>
        <w:t>до рішення Стрийської міської ради</w:t>
      </w:r>
    </w:p>
    <w:p>
      <w:pPr>
        <w:pStyle w:val="Normal"/>
        <w:spacing w:before="0" w:after="0"/>
        <w:ind w:left="4956" w:hanging="0"/>
        <w:rPr>
          <w:rFonts w:ascii="Times New Roman" w:hAnsi="Times New Roman" w:cs="Times New Roman"/>
          <w:b/>
          <w:sz w:val="24"/>
          <w:szCs w:val="24"/>
        </w:rPr>
      </w:pPr>
      <w:r>
        <w:rPr>
          <w:rFonts w:cs="Times New Roman" w:ascii="Times New Roman" w:hAnsi="Times New Roman"/>
          <w:b/>
          <w:sz w:val="24"/>
          <w:szCs w:val="24"/>
        </w:rPr>
        <w:t xml:space="preserve">від </w:t>
      </w:r>
      <w:r>
        <w:rPr>
          <w:rFonts w:cs="Times New Roman" w:ascii="Times New Roman" w:hAnsi="Times New Roman"/>
          <w:b/>
          <w:sz w:val="24"/>
          <w:szCs w:val="24"/>
          <w:u w:val="single"/>
        </w:rPr>
        <w:t xml:space="preserve">25 квітня </w:t>
      </w:r>
      <w:r>
        <w:rPr>
          <w:rFonts w:cs="Times New Roman" w:ascii="Times New Roman" w:hAnsi="Times New Roman"/>
          <w:b/>
          <w:sz w:val="24"/>
          <w:szCs w:val="24"/>
        </w:rPr>
        <w:t>2024 №</w:t>
      </w:r>
      <w:r>
        <w:rPr>
          <w:rFonts w:cs="Times New Roman" w:ascii="Times New Roman" w:hAnsi="Times New Roman"/>
          <w:b/>
          <w:sz w:val="24"/>
          <w:szCs w:val="24"/>
          <w:u w:val="single"/>
        </w:rPr>
        <w:t>2527</w:t>
      </w:r>
    </w:p>
    <w:p>
      <w:pPr>
        <w:pStyle w:val="Normal"/>
        <w:spacing w:lineRule="auto" w:line="240" w:before="182" w:after="273"/>
        <w:ind w:left="273" w:right="273" w:hanging="0"/>
        <w:jc w:val="center"/>
        <w:rPr>
          <w:rFonts w:ascii="Times New Roman" w:hAnsi="Times New Roman" w:eastAsia="Times New Roman" w:cs="Times New Roman"/>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182" w:after="273"/>
        <w:ind w:left="273" w:right="273" w:hanging="0"/>
        <w:jc w:val="center"/>
        <w:rPr>
          <w:rFonts w:ascii="Times New Roman" w:hAnsi="Times New Roman" w:eastAsia="Times New Roman" w:cs="Times New Roman"/>
          <w:color w:val="333333"/>
          <w:sz w:val="28"/>
          <w:szCs w:val="28"/>
        </w:rPr>
      </w:pPr>
      <w:r>
        <w:rPr>
          <w:rFonts w:eastAsia="Times New Roman" w:cs="Times New Roman" w:ascii="Times New Roman" w:hAnsi="Times New Roman"/>
          <w:b/>
          <w:bCs/>
          <w:color w:val="333333"/>
          <w:sz w:val="28"/>
          <w:szCs w:val="28"/>
        </w:rPr>
        <w:t>РЕГЛАМЕНТ</w:t>
      </w:r>
      <w:r>
        <w:rPr>
          <w:rFonts w:eastAsia="Times New Roman" w:cs="Times New Roman" w:ascii="Times New Roman" w:hAnsi="Times New Roman"/>
          <w:color w:val="333333"/>
          <w:sz w:val="28"/>
          <w:szCs w:val="28"/>
        </w:rPr>
        <w:br/>
      </w:r>
      <w:r>
        <w:rPr>
          <w:rFonts w:eastAsia="Times New Roman" w:cs="Times New Roman" w:ascii="Times New Roman" w:hAnsi="Times New Roman"/>
          <w:b/>
          <w:bCs/>
          <w:color w:val="333333"/>
          <w:sz w:val="28"/>
          <w:szCs w:val="28"/>
        </w:rPr>
        <w:t>Центру надання адміністративних послуг виконавчого комітету Стрийської міської ради (ДІЯ Центру)</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2" w:name="n366"/>
      <w:bookmarkStart w:id="3" w:name="n161"/>
      <w:bookmarkEnd w:id="2"/>
      <w:bookmarkEnd w:id="3"/>
      <w:r>
        <w:rPr>
          <w:rFonts w:eastAsia="Times New Roman" w:cs="Times New Roman" w:ascii="Times New Roman" w:hAnsi="Times New Roman"/>
          <w:b/>
          <w:bCs/>
          <w:color w:val="333333"/>
          <w:sz w:val="28"/>
          <w:szCs w:val="28"/>
        </w:rPr>
        <w:t>Загальна частина</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 w:name="n162"/>
      <w:bookmarkEnd w:id="4"/>
      <w:r>
        <w:rPr>
          <w:rFonts w:eastAsia="Times New Roman" w:cs="Times New Roman" w:ascii="Times New Roman" w:hAnsi="Times New Roman"/>
          <w:color w:val="333333"/>
          <w:sz w:val="28"/>
          <w:szCs w:val="28"/>
        </w:rPr>
        <w:t xml:space="preserve">1. Цей регламент визначає порядок організації роботи Центру надання адміністративних послуг </w:t>
      </w:r>
      <w:r>
        <w:rPr>
          <w:rFonts w:eastAsia="Times New Roman" w:cs="Times New Roman" w:ascii="Times New Roman" w:hAnsi="Times New Roman"/>
          <w:b w:val="false"/>
          <w:bCs w:val="false"/>
          <w:color w:val="333333"/>
          <w:sz w:val="28"/>
          <w:szCs w:val="28"/>
        </w:rPr>
        <w:t>виконавчого комітету Стрийської міської ради</w:t>
      </w:r>
      <w:r>
        <w:rPr>
          <w:rFonts w:eastAsia="Times New Roman" w:cs="Times New Roman" w:ascii="Times New Roman" w:hAnsi="Times New Roman"/>
          <w:color w:val="333333"/>
          <w:sz w:val="28"/>
          <w:szCs w:val="28"/>
        </w:rPr>
        <w:t>(ДІЯ Центру) (далі - центр), віддалених (у тому числі пересувних) робочих місць адміністраторів, порядок дій адміністраторів центру та їх взаємодії із суб’єктами надання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5" w:name="n325"/>
      <w:bookmarkStart w:id="6" w:name="n163"/>
      <w:bookmarkEnd w:id="5"/>
      <w:bookmarkEnd w:id="6"/>
      <w:r>
        <w:rPr>
          <w:rFonts w:eastAsia="Times New Roman" w:cs="Times New Roman" w:ascii="Times New Roman" w:hAnsi="Times New Roman"/>
          <w:color w:val="333333"/>
          <w:sz w:val="28"/>
          <w:szCs w:val="28"/>
        </w:rPr>
        <w:t>2. У цьому регламенті терміни вживаються у значенні, наведеному в </w:t>
      </w:r>
      <w:hyperlink r:id="rId2">
        <w:r>
          <w:rPr>
            <w:rFonts w:eastAsia="Times New Roman" w:cs="Times New Roman" w:ascii="Times New Roman" w:hAnsi="Times New Roman"/>
            <w:color w:val="0000FF"/>
            <w:sz w:val="28"/>
            <w:szCs w:val="28"/>
            <w:u w:val="single"/>
          </w:rPr>
          <w:t>Законі України “Про адміністративні послуги”</w:t>
        </w:r>
      </w:hyperlink>
      <w:r>
        <w:rPr>
          <w:rFonts w:eastAsia="Times New Roman" w:cs="Times New Roman" w:ascii="Times New Roman" w:hAnsi="Times New Roman"/>
          <w:color w:val="333333"/>
          <w:sz w:val="28"/>
          <w:szCs w:val="28"/>
        </w:rPr>
        <w:t>.</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7" w:name="n164"/>
      <w:bookmarkEnd w:id="7"/>
      <w:r>
        <w:rPr>
          <w:rFonts w:eastAsia="Times New Roman" w:cs="Times New Roman" w:ascii="Times New Roman" w:hAnsi="Times New Roman"/>
          <w:color w:val="333333"/>
          <w:sz w:val="28"/>
          <w:szCs w:val="28"/>
        </w:rPr>
        <w:t>3. Надання адміністративних послуг у центрі здійснюється з дотриманням таких принципів: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8" w:name="n165"/>
      <w:bookmarkEnd w:id="8"/>
      <w:r>
        <w:rPr>
          <w:rFonts w:eastAsia="Times New Roman" w:cs="Times New Roman" w:ascii="Times New Roman" w:hAnsi="Times New Roman"/>
          <w:color w:val="333333"/>
          <w:sz w:val="28"/>
          <w:szCs w:val="28"/>
        </w:rPr>
        <w:t>верховенства права, у тому числі законності та юридичної визначеності;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9" w:name="n166"/>
      <w:bookmarkEnd w:id="9"/>
      <w:r>
        <w:rPr>
          <w:rFonts w:eastAsia="Times New Roman" w:cs="Times New Roman" w:ascii="Times New Roman" w:hAnsi="Times New Roman"/>
          <w:color w:val="333333"/>
          <w:sz w:val="28"/>
          <w:szCs w:val="28"/>
        </w:rPr>
        <w:t>стабільності;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0" w:name="n167"/>
      <w:bookmarkEnd w:id="10"/>
      <w:r>
        <w:rPr>
          <w:rFonts w:eastAsia="Times New Roman" w:cs="Times New Roman" w:ascii="Times New Roman" w:hAnsi="Times New Roman"/>
          <w:color w:val="333333"/>
          <w:sz w:val="28"/>
          <w:szCs w:val="28"/>
        </w:rPr>
        <w:t>рівності перед законом;</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1" w:name="n168"/>
      <w:bookmarkEnd w:id="11"/>
      <w:r>
        <w:rPr>
          <w:rFonts w:eastAsia="Times New Roman" w:cs="Times New Roman" w:ascii="Times New Roman" w:hAnsi="Times New Roman"/>
          <w:color w:val="333333"/>
          <w:sz w:val="28"/>
          <w:szCs w:val="28"/>
        </w:rPr>
        <w:t>відкритості та прозорості;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2" w:name="n169"/>
      <w:bookmarkEnd w:id="12"/>
      <w:r>
        <w:rPr>
          <w:rFonts w:eastAsia="Times New Roman" w:cs="Times New Roman" w:ascii="Times New Roman" w:hAnsi="Times New Roman"/>
          <w:color w:val="333333"/>
          <w:sz w:val="28"/>
          <w:szCs w:val="28"/>
        </w:rPr>
        <w:t>оперативності та своєчасності;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3" w:name="n170"/>
      <w:bookmarkEnd w:id="13"/>
      <w:r>
        <w:rPr>
          <w:rFonts w:eastAsia="Times New Roman" w:cs="Times New Roman" w:ascii="Times New Roman" w:hAnsi="Times New Roman"/>
          <w:color w:val="333333"/>
          <w:sz w:val="28"/>
          <w:szCs w:val="28"/>
        </w:rPr>
        <w:t>доступності інформації про надання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4" w:name="n171"/>
      <w:bookmarkEnd w:id="14"/>
      <w:r>
        <w:rPr>
          <w:rFonts w:eastAsia="Times New Roman" w:cs="Times New Roman" w:ascii="Times New Roman" w:hAnsi="Times New Roman"/>
          <w:color w:val="333333"/>
          <w:sz w:val="28"/>
          <w:szCs w:val="28"/>
        </w:rPr>
        <w:t>захищеності персональних даних;</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5" w:name="n172"/>
      <w:bookmarkEnd w:id="15"/>
      <w:r>
        <w:rPr>
          <w:rFonts w:eastAsia="Times New Roman" w:cs="Times New Roman" w:ascii="Times New Roman" w:hAnsi="Times New Roman"/>
          <w:color w:val="333333"/>
          <w:sz w:val="28"/>
          <w:szCs w:val="28"/>
        </w:rPr>
        <w:t>раціональної мінімізації кількості документів та процедурних дій, що вимагаються для отримання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6" w:name="n173"/>
      <w:bookmarkEnd w:id="16"/>
      <w:r>
        <w:rPr>
          <w:rFonts w:eastAsia="Times New Roman" w:cs="Times New Roman" w:ascii="Times New Roman" w:hAnsi="Times New Roman"/>
          <w:color w:val="333333"/>
          <w:sz w:val="28"/>
          <w:szCs w:val="28"/>
        </w:rPr>
        <w:t>неупередженості та справедливості;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7" w:name="n174"/>
      <w:bookmarkEnd w:id="17"/>
      <w:r>
        <w:rPr>
          <w:rFonts w:eastAsia="Times New Roman" w:cs="Times New Roman" w:ascii="Times New Roman" w:hAnsi="Times New Roman"/>
          <w:color w:val="333333"/>
          <w:sz w:val="28"/>
          <w:szCs w:val="28"/>
        </w:rPr>
        <w:t>доступності та зручності для суб’єктів звернення.</w:t>
      </w:r>
    </w:p>
    <w:p>
      <w:pPr>
        <w:pStyle w:val="Normal"/>
        <w:shd w:val="clear" w:color="auto" w:fill="FFFFFF"/>
        <w:tabs>
          <w:tab w:val="clear" w:pos="708"/>
          <w:tab w:val="left" w:pos="709" w:leader="none"/>
          <w:tab w:val="left" w:pos="1013" w:leader="none"/>
        </w:tabs>
        <w:spacing w:lineRule="auto" w:line="240" w:before="0" w:after="0"/>
        <w:ind w:firstLine="547"/>
        <w:contextualSpacing/>
        <w:jc w:val="both"/>
        <w:rPr>
          <w:rFonts w:ascii="Times New Roman" w:hAnsi="Times New Roman" w:eastAsia="Times New Roman" w:cs="Times New Roman"/>
          <w:color w:val="585858" w:themeColor="text1" w:themeTint="a6"/>
          <w:sz w:val="28"/>
          <w:szCs w:val="28"/>
        </w:rPr>
      </w:pPr>
      <w:bookmarkStart w:id="18" w:name="n175"/>
      <w:bookmarkEnd w:id="18"/>
      <w:r>
        <w:rPr>
          <w:rFonts w:eastAsia="Times New Roman" w:cs="Times New Roman" w:ascii="Times New Roman" w:hAnsi="Times New Roman"/>
          <w:color w:val="585858" w:themeColor="text1" w:themeTint="a6"/>
          <w:sz w:val="28"/>
          <w:szCs w:val="28"/>
        </w:rPr>
        <w:t xml:space="preserve">4. </w:t>
      </w:r>
      <w:bookmarkStart w:id="19" w:name="n176"/>
      <w:bookmarkEnd w:id="19"/>
      <w:r>
        <w:rPr>
          <w:rFonts w:eastAsia="Times New Roman" w:cs="Times New Roman" w:ascii="Times New Roman" w:hAnsi="Times New Roman"/>
          <w:color w:val="585858" w:themeColor="text1" w:themeTint="a6"/>
          <w:sz w:val="28"/>
          <w:szCs w:val="28"/>
        </w:rPr>
        <w:t xml:space="preserve">Центр у своїй діяльності керується Конституцією України, законами України «Про місцеве самоврядування в Україні», «Про адміністративні послуги», «Про звернення громадян», «Про захист персональних даних», «Про дозвільну систему у сфері господарської діяльності», «Про службу в органах місцевого самоврядування», «Про адміністративну процедуру», актами Президента України і Кабінету Міністрів України, рішеннями Ради та її виконавчого комітету, розпорядженнями міського голови, Положенням про Центр надання адміністративних послуг </w:t>
      </w:r>
      <w:r>
        <w:rPr>
          <w:rFonts w:eastAsia="Times New Roman" w:cs="Times New Roman" w:ascii="Times New Roman" w:hAnsi="Times New Roman"/>
          <w:b w:val="false"/>
          <w:bCs w:val="false"/>
          <w:color w:val="333333"/>
          <w:sz w:val="28"/>
          <w:szCs w:val="28"/>
        </w:rPr>
        <w:t>виконавчого комітету Стрийської міської ради</w:t>
      </w:r>
      <w:r>
        <w:rPr>
          <w:rFonts w:eastAsia="Times New Roman" w:cs="Times New Roman" w:ascii="Times New Roman" w:hAnsi="Times New Roman"/>
          <w:color w:val="585858" w:themeColor="text1" w:themeTint="a6"/>
          <w:sz w:val="28"/>
          <w:szCs w:val="28"/>
        </w:rPr>
        <w:t xml:space="preserve"> (ДІЯ Центр) та іншими нормативно-правовими актами.</w:t>
      </w:r>
    </w:p>
    <w:p>
      <w:pPr>
        <w:pStyle w:val="Normal"/>
        <w:spacing w:lineRule="auto" w:line="240" w:before="0" w:after="91"/>
        <w:ind w:firstLine="273"/>
        <w:jc w:val="both"/>
        <w:rPr>
          <w:rFonts w:ascii="Times New Roman" w:hAnsi="Times New Roman" w:eastAsia="Times New Roman" w:cs="Times New Roman"/>
          <w:b/>
          <w:bCs/>
          <w:color w:val="333333"/>
          <w:sz w:val="28"/>
          <w:szCs w:val="28"/>
        </w:rPr>
      </w:pPr>
      <w:r>
        <w:rPr>
          <w:rFonts w:eastAsia="Times New Roman" w:cs="Times New Roman" w:ascii="Times New Roman" w:hAnsi="Times New Roman"/>
          <w:b/>
          <w:bCs/>
          <w:color w:val="333333"/>
          <w:sz w:val="28"/>
          <w:szCs w:val="28"/>
        </w:rPr>
      </w:r>
    </w:p>
    <w:p>
      <w:pPr>
        <w:pStyle w:val="Normal"/>
        <w:spacing w:lineRule="auto" w:line="240" w:before="0" w:after="91"/>
        <w:ind w:firstLine="273"/>
        <w:jc w:val="both"/>
        <w:rPr>
          <w:rFonts w:ascii="Times New Roman" w:hAnsi="Times New Roman" w:eastAsia="Times New Roman" w:cs="Times New Roman"/>
          <w:color w:val="333333"/>
          <w:sz w:val="28"/>
          <w:szCs w:val="28"/>
        </w:rPr>
      </w:pPr>
      <w:r>
        <w:rPr>
          <w:rFonts w:eastAsia="Times New Roman" w:cs="Times New Roman" w:ascii="Times New Roman" w:hAnsi="Times New Roman"/>
          <w:b/>
          <w:bCs/>
          <w:color w:val="333333"/>
          <w:sz w:val="28"/>
          <w:szCs w:val="28"/>
        </w:rPr>
        <w:t>Вимоги до приміщення, в якому розміщується центр</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0" w:name="n177"/>
      <w:bookmarkEnd w:id="20"/>
      <w:r>
        <w:rPr>
          <w:rFonts w:eastAsia="Times New Roman" w:cs="Times New Roman" w:ascii="Times New Roman" w:hAnsi="Times New Roman"/>
          <w:color w:val="333333"/>
          <w:sz w:val="28"/>
          <w:szCs w:val="28"/>
        </w:rPr>
        <w:t>5. Центр розміщується в центральній частині міста/селища/села або іншому зручному для суб’єктів звернення місці з розвинутою транспортною інфраструктурою.</w:t>
      </w:r>
      <w:bookmarkStart w:id="21" w:name="n178"/>
      <w:bookmarkStart w:id="22" w:name="n276"/>
      <w:bookmarkEnd w:id="21"/>
      <w:bookmarkEnd w:id="22"/>
    </w:p>
    <w:p>
      <w:pPr>
        <w:pStyle w:val="Normal"/>
        <w:spacing w:lineRule="auto" w:line="240" w:before="0" w:after="91"/>
        <w:ind w:firstLine="273"/>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На вході до приміщення (будівлі) розміщуються вивіска з позначенням “Центр надання адміністративних послуг” або “ДІЯ Центр ”, яке дублюється у тактильному вигляді та шрифтом Брайля. Позначення “Центр надання адміністративних послуг” та “ ДІЯ Центр ” можуть розміщуватися одночасно.</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 w:name="n277"/>
      <w:bookmarkStart w:id="24" w:name="n179"/>
      <w:bookmarkEnd w:id="23"/>
      <w:bookmarkEnd w:id="24"/>
      <w:r>
        <w:rPr>
          <w:rFonts w:eastAsia="Times New Roman" w:cs="Times New Roman" w:ascii="Times New Roman" w:hAnsi="Times New Roman"/>
          <w:color w:val="333333"/>
          <w:sz w:val="28"/>
          <w:szCs w:val="28"/>
        </w:rPr>
        <w:t>Перед входом до приміщення розміщуються тактильні та контрастні позначки для осіб з інвалідністю з порушеннями зору.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5" w:name="n180"/>
      <w:bookmarkStart w:id="26" w:name="n278"/>
      <w:bookmarkEnd w:id="25"/>
      <w:bookmarkEnd w:id="26"/>
      <w:r>
        <w:rPr>
          <w:rFonts w:eastAsia="Times New Roman" w:cs="Times New Roman" w:ascii="Times New Roman" w:hAnsi="Times New Roman"/>
          <w:color w:val="333333"/>
          <w:sz w:val="28"/>
          <w:szCs w:val="28"/>
        </w:rPr>
        <w:t>Вхід до приміщень центру, який має сходи, повинен бути облаштований кнопкою виклику,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 w:name="n279"/>
      <w:bookmarkStart w:id="28" w:name="n281"/>
      <w:bookmarkEnd w:id="27"/>
      <w:bookmarkEnd w:id="28"/>
      <w:r>
        <w:rPr>
          <w:rFonts w:eastAsia="Times New Roman" w:cs="Times New Roman" w:ascii="Times New Roman" w:hAnsi="Times New Roman"/>
          <w:color w:val="333333"/>
          <w:sz w:val="28"/>
          <w:szCs w:val="28"/>
        </w:rPr>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9" w:name="n280"/>
      <w:bookmarkStart w:id="30" w:name="n372"/>
      <w:bookmarkEnd w:id="29"/>
      <w:bookmarkEnd w:id="30"/>
      <w:r>
        <w:rPr>
          <w:rFonts w:eastAsia="Times New Roman" w:cs="Times New Roman" w:ascii="Times New Roman" w:hAnsi="Times New Roman"/>
          <w:color w:val="333333"/>
          <w:sz w:val="28"/>
          <w:szCs w:val="28"/>
        </w:rPr>
        <w:t>Облаштування центру позначенням “ДІЯ Центр”, навігаційними табличками (табличками, які використовуються для орієнтування у центрі), піктограмами здійснюється згідно з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"n455"</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додатками 1-4</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1" w:name="n380"/>
      <w:bookmarkStart w:id="32" w:name="n373"/>
      <w:bookmarkEnd w:id="31"/>
      <w:bookmarkEnd w:id="32"/>
      <w:r>
        <w:rPr>
          <w:rFonts w:eastAsia="Times New Roman" w:cs="Times New Roman" w:ascii="Times New Roman" w:hAnsi="Times New Roman"/>
          <w:color w:val="333333"/>
          <w:sz w:val="28"/>
          <w:szCs w:val="28"/>
        </w:rPr>
        <w:t>Для оздоблення стін використовуються кольори згідно з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"n501"</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додатком 5</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3" w:name="n381"/>
      <w:bookmarkStart w:id="34" w:name="n374"/>
      <w:bookmarkStart w:id="35" w:name="n375"/>
      <w:bookmarkEnd w:id="33"/>
      <w:bookmarkEnd w:id="34"/>
      <w:bookmarkEnd w:id="35"/>
      <w:r>
        <w:rPr>
          <w:rFonts w:eastAsia="Times New Roman" w:cs="Times New Roman" w:ascii="Times New Roman" w:hAnsi="Times New Roman"/>
          <w:color w:val="333333"/>
          <w:sz w:val="28"/>
          <w:szCs w:val="28"/>
        </w:rPr>
        <w:t>Облаштування центру здійснюється з дотриманням вимог щодо інклюзивності будівель і споруд, передбачених Державними будівельними нормами ДБН В.2.2-40:2018 “Будинки і споруди. Інклюзивність будівель і споруд. Основні положення” стосовно їх доступності для осіб з інвалідністю та інших маломобільних груп населення.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6" w:name="n383"/>
      <w:bookmarkStart w:id="37" w:name="n181"/>
      <w:bookmarkEnd w:id="36"/>
      <w:bookmarkEnd w:id="37"/>
      <w:r>
        <w:rPr>
          <w:rFonts w:eastAsia="Times New Roman" w:cs="Times New Roman" w:ascii="Times New Roman" w:hAnsi="Times New Roman"/>
          <w:color w:val="333333"/>
          <w:sz w:val="28"/>
          <w:szCs w:val="28"/>
        </w:rPr>
        <w:t>На прилеглій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3" w:tgtFrame="_blank">
        <w:r>
          <w:rPr>
            <w:rFonts w:eastAsia="Times New Roman" w:cs="Times New Roman" w:ascii="Times New Roman" w:hAnsi="Times New Roman"/>
            <w:color w:val="0000FF"/>
            <w:sz w:val="28"/>
            <w:szCs w:val="28"/>
            <w:u w:val="single"/>
          </w:rPr>
          <w:t>Законом України</w:t>
        </w:r>
      </w:hyperlink>
      <w:r>
        <w:rPr>
          <w:rFonts w:eastAsia="Times New Roman" w:cs="Times New Roman" w:ascii="Times New Roman" w:hAnsi="Times New Roman"/>
          <w:color w:val="333333"/>
          <w:sz w:val="28"/>
          <w:szCs w:val="28"/>
        </w:rPr>
        <w:t>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8" w:name="n326"/>
      <w:bookmarkStart w:id="39" w:name="n182"/>
      <w:bookmarkEnd w:id="38"/>
      <w:bookmarkEnd w:id="39"/>
      <w:r>
        <w:rPr>
          <w:rFonts w:eastAsia="Times New Roman" w:cs="Times New Roman" w:ascii="Times New Roman" w:hAnsi="Times New Roman"/>
          <w:color w:val="333333"/>
          <w:sz w:val="28"/>
          <w:szCs w:val="28"/>
        </w:rPr>
        <w:t>6. Приміщення центру поділяється на відкриту та закриту частини.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0" w:name="n183"/>
      <w:bookmarkEnd w:id="40"/>
      <w:r>
        <w:rPr>
          <w:rFonts w:eastAsia="Times New Roman" w:cs="Times New Roman" w:ascii="Times New Roman" w:hAnsi="Times New Roman"/>
          <w:color w:val="333333"/>
          <w:sz w:val="28"/>
          <w:szCs w:val="28"/>
        </w:rPr>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1" w:name="n184"/>
      <w:bookmarkEnd w:id="41"/>
      <w:r>
        <w:rPr>
          <w:rFonts w:eastAsia="Times New Roman" w:cs="Times New Roman" w:ascii="Times New Roman" w:hAnsi="Times New Roman"/>
          <w:color w:val="333333"/>
          <w:sz w:val="28"/>
          <w:szCs w:val="28"/>
        </w:rPr>
        <w:t>Відкрита частина включає:</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2" w:name="n185"/>
      <w:bookmarkEnd w:id="42"/>
      <w:r>
        <w:rPr>
          <w:rFonts w:eastAsia="Times New Roman" w:cs="Times New Roman" w:ascii="Times New Roman" w:hAnsi="Times New Roman"/>
          <w:color w:val="333333"/>
          <w:sz w:val="28"/>
          <w:szCs w:val="28"/>
        </w:rPr>
        <w:t>сектор прийому;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3" w:name="n186"/>
      <w:bookmarkEnd w:id="43"/>
      <w:r>
        <w:rPr>
          <w:rFonts w:eastAsia="Times New Roman" w:cs="Times New Roman" w:ascii="Times New Roman" w:hAnsi="Times New Roman"/>
          <w:color w:val="333333"/>
          <w:sz w:val="28"/>
          <w:szCs w:val="28"/>
        </w:rPr>
        <w:t>сектор інформування;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4" w:name="n187"/>
      <w:bookmarkEnd w:id="44"/>
      <w:r>
        <w:rPr>
          <w:rFonts w:eastAsia="Times New Roman" w:cs="Times New Roman" w:ascii="Times New Roman" w:hAnsi="Times New Roman"/>
          <w:color w:val="333333"/>
          <w:sz w:val="28"/>
          <w:szCs w:val="28"/>
        </w:rPr>
        <w:t>сектор очікування;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5" w:name="n188"/>
      <w:bookmarkEnd w:id="45"/>
      <w:r>
        <w:rPr>
          <w:rFonts w:eastAsia="Times New Roman" w:cs="Times New Roman" w:ascii="Times New Roman" w:hAnsi="Times New Roman"/>
          <w:color w:val="333333"/>
          <w:sz w:val="28"/>
          <w:szCs w:val="28"/>
        </w:rPr>
        <w:t>сектор обслуговування.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6" w:name="n189"/>
      <w:bookmarkEnd w:id="46"/>
      <w:r>
        <w:rPr>
          <w:rFonts w:eastAsia="Times New Roman" w:cs="Times New Roman" w:ascii="Times New Roman" w:hAnsi="Times New Roman"/>
          <w:color w:val="333333"/>
          <w:sz w:val="28"/>
          <w:szCs w:val="28"/>
        </w:rPr>
        <w:t xml:space="preserve">Відкрита частина розміщується на першому </w:t>
      </w:r>
      <w:r>
        <w:rPr>
          <w:rFonts w:eastAsia="Times New Roman" w:cs="Times New Roman" w:ascii="Times New Roman" w:hAnsi="Times New Roman"/>
          <w:color w:val="333333"/>
          <w:sz w:val="28"/>
          <w:szCs w:val="28"/>
          <w:lang w:val="ru-RU"/>
        </w:rPr>
        <w:t>та</w:t>
      </w:r>
      <w:r>
        <w:rPr>
          <w:rFonts w:eastAsia="Times New Roman" w:cs="Times New Roman" w:ascii="Times New Roman" w:hAnsi="Times New Roman"/>
          <w:color w:val="333333"/>
          <w:sz w:val="28"/>
          <w:szCs w:val="28"/>
        </w:rPr>
        <w:t xml:space="preserve"> другому поверсі будівлі </w:t>
      </w:r>
      <w:r>
        <w:rPr>
          <w:rFonts w:eastAsia="Times New Roman" w:cs="Times New Roman" w:ascii="Times New Roman" w:hAnsi="Times New Roman"/>
          <w:color w:val="333333"/>
          <w:sz w:val="28"/>
          <w:szCs w:val="28"/>
          <w:lang w:val="ru-RU"/>
        </w:rPr>
        <w:t xml:space="preserve">зі </w:t>
      </w:r>
      <w:r>
        <w:rPr>
          <w:rFonts w:eastAsia="Times New Roman" w:cs="Times New Roman" w:ascii="Times New Roman" w:hAnsi="Times New Roman"/>
          <w:color w:val="333333"/>
          <w:sz w:val="28"/>
          <w:szCs w:val="28"/>
        </w:rPr>
        <w:t>створенням належних умов для безперешкодного доступу для осіб з інвалідністю та інших маломобільних груп населення до приміщень будівлі.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7" w:name="n327"/>
      <w:bookmarkStart w:id="48" w:name="n190"/>
      <w:bookmarkEnd w:id="47"/>
      <w:bookmarkEnd w:id="48"/>
      <w:r>
        <w:rPr>
          <w:rFonts w:eastAsia="Times New Roman" w:cs="Times New Roman" w:ascii="Times New Roman" w:hAnsi="Times New Roman"/>
          <w:color w:val="333333"/>
          <w:sz w:val="28"/>
          <w:szCs w:val="28"/>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49" w:name="n191"/>
      <w:bookmarkStart w:id="50" w:name="n282"/>
      <w:bookmarkEnd w:id="49"/>
      <w:bookmarkEnd w:id="50"/>
      <w:r>
        <w:rPr>
          <w:rFonts w:eastAsia="Times New Roman" w:cs="Times New Roman" w:ascii="Times New Roman" w:hAnsi="Times New Roman"/>
          <w:color w:val="333333"/>
          <w:sz w:val="28"/>
          <w:szCs w:val="28"/>
        </w:rPr>
        <w:t>Вхід до закритої частини центру суб’єктам звернення забороняється.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51" w:name="n192"/>
      <w:bookmarkEnd w:id="51"/>
      <w:r>
        <w:rPr>
          <w:rFonts w:eastAsia="Times New Roman" w:cs="Times New Roman" w:ascii="Times New Roman" w:hAnsi="Times New Roman"/>
          <w:color w:val="333333"/>
          <w:sz w:val="28"/>
          <w:szCs w:val="28"/>
        </w:rPr>
        <w:t>Закрита частина може розміщуватися на інших поверхах, ніж відкрита частина.</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52" w:name="n193"/>
      <w:bookmarkEnd w:id="52"/>
      <w:r>
        <w:rPr>
          <w:rFonts w:eastAsia="Times New Roman" w:cs="Times New Roman" w:ascii="Times New Roman" w:hAnsi="Times New Roman"/>
          <w:color w:val="333333"/>
          <w:sz w:val="28"/>
          <w:szCs w:val="28"/>
        </w:rPr>
        <w:t>7. 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53" w:name="n194"/>
      <w:bookmarkEnd w:id="53"/>
      <w:r>
        <w:rPr>
          <w:rFonts w:eastAsia="Times New Roman" w:cs="Times New Roman" w:ascii="Times New Roman" w:hAnsi="Times New Roman"/>
          <w:color w:val="333333"/>
          <w:sz w:val="28"/>
          <w:szCs w:val="28"/>
        </w:rPr>
        <w:t>8. Сектор інформування облаштовується з метою ознайомлення суб’єктів звернення з порядком та умовами надання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54" w:name="n195"/>
      <w:bookmarkEnd w:id="54"/>
      <w:r>
        <w:rPr>
          <w:rFonts w:eastAsia="Times New Roman" w:cs="Times New Roman" w:ascii="Times New Roman" w:hAnsi="Times New Roman"/>
          <w:color w:val="333333"/>
          <w:sz w:val="28"/>
          <w:szCs w:val="28"/>
        </w:rPr>
        <w:t>У секторі інформування розміщуються інформаційні стенди, постери (плакати)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підприємців (“Дія. Бізнес”) (у разі проведення такого консультування в приміщеннях центру), інформацію щодо здійснення прийому суб’єктів звернення з надання безоплатної правової допомоги (у разі проведення такого прийому в приміщеннях центру),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55" w:name="n328"/>
      <w:bookmarkStart w:id="56" w:name="n196"/>
      <w:bookmarkEnd w:id="55"/>
      <w:bookmarkEnd w:id="56"/>
      <w:r>
        <w:rPr>
          <w:rFonts w:eastAsia="Times New Roman" w:cs="Times New Roman" w:ascii="Times New Roman" w:hAnsi="Times New Roman"/>
          <w:color w:val="333333"/>
          <w:sz w:val="28"/>
          <w:szCs w:val="28"/>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57" w:name="n329"/>
      <w:bookmarkStart w:id="58" w:name="n284"/>
      <w:bookmarkEnd w:id="57"/>
      <w:bookmarkEnd w:id="58"/>
      <w:r>
        <w:rPr>
          <w:rFonts w:eastAsia="Times New Roman" w:cs="Times New Roman" w:ascii="Times New Roman" w:hAnsi="Times New Roman"/>
          <w:color w:val="333333"/>
          <w:sz w:val="28"/>
          <w:szCs w:val="28"/>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(у тому числі пересувне)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59" w:name="n283"/>
      <w:bookmarkStart w:id="60" w:name="n384"/>
      <w:bookmarkEnd w:id="59"/>
      <w:bookmarkEnd w:id="60"/>
      <w:r>
        <w:rPr>
          <w:rFonts w:eastAsia="Times New Roman" w:cs="Times New Roman" w:ascii="Times New Roman" w:hAnsi="Times New Roman"/>
          <w:color w:val="333333"/>
          <w:sz w:val="28"/>
          <w:szCs w:val="28"/>
        </w:rPr>
        <w:t>Для встановлення зворотного зв’язку із суб’єктами звернень в електронній формі у зазначеному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у терміналах, інших технічних засобах, а також на відповідних веб-сайтах. Зазначена інформація розміщується окремо в секторах прийому, інформування, очікування та обслуговування.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61" w:name="n385"/>
      <w:bookmarkStart w:id="62" w:name="n197"/>
      <w:bookmarkEnd w:id="61"/>
      <w:bookmarkEnd w:id="62"/>
      <w:r>
        <w:rPr>
          <w:rFonts w:eastAsia="Times New Roman" w:cs="Times New Roman" w:ascii="Times New Roman" w:hAnsi="Times New Roman"/>
          <w:color w:val="333333"/>
          <w:sz w:val="28"/>
          <w:szCs w:val="28"/>
        </w:rPr>
        <w:t>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63" w:name="n285"/>
      <w:bookmarkStart w:id="64" w:name="n287"/>
      <w:bookmarkEnd w:id="63"/>
      <w:bookmarkEnd w:id="64"/>
      <w:r>
        <w:rPr>
          <w:rFonts w:eastAsia="Times New Roman" w:cs="Times New Roman" w:ascii="Times New Roman" w:hAnsi="Times New Roman"/>
          <w:color w:val="333333"/>
          <w:sz w:val="28"/>
          <w:szCs w:val="28"/>
        </w:rPr>
        <w:t xml:space="preserve">У секторі очікування </w:t>
      </w:r>
      <w:r>
        <w:rPr>
          <w:rFonts w:eastAsia="Times New Roman" w:cs="Times New Roman" w:ascii="Times New Roman" w:hAnsi="Times New Roman"/>
          <w:color w:val="333333"/>
          <w:sz w:val="28"/>
          <w:szCs w:val="28"/>
          <w:lang w:val="ru-RU"/>
        </w:rPr>
        <w:t xml:space="preserve">центру </w:t>
      </w:r>
      <w:r>
        <w:rPr>
          <w:rFonts w:eastAsia="Times New Roman" w:cs="Times New Roman" w:ascii="Times New Roman" w:hAnsi="Times New Roman"/>
          <w:color w:val="333333"/>
          <w:sz w:val="28"/>
          <w:szCs w:val="28"/>
        </w:rPr>
        <w:t xml:space="preserve">облаштовуються місця для суб’єктів звернень </w:t>
      </w:r>
      <w:bookmarkStart w:id="65" w:name="n293"/>
      <w:bookmarkEnd w:id="65"/>
    </w:p>
    <w:p>
      <w:pPr>
        <w:pStyle w:val="Normal"/>
        <w:spacing w:lineRule="auto" w:line="240" w:before="0" w:after="91"/>
        <w:ind w:firstLine="273"/>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не менш як 30 місць.</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66" w:name="n391"/>
      <w:bookmarkStart w:id="67" w:name="n198"/>
      <w:bookmarkEnd w:id="66"/>
      <w:bookmarkEnd w:id="67"/>
      <w:r>
        <w:rPr>
          <w:rFonts w:eastAsia="Times New Roman" w:cs="Times New Roman" w:ascii="Times New Roman" w:hAnsi="Times New Roman"/>
          <w:color w:val="333333"/>
          <w:sz w:val="28"/>
          <w:szCs w:val="28"/>
        </w:rPr>
        <w:t>Сектор очікування обладнується автоматизованою системою керування чергою, системою звукового інформування осіб похилого віку та осіб з інвалідністю з порушеннями зору.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68" w:name="n294"/>
      <w:bookmarkStart w:id="69" w:name="n296"/>
      <w:bookmarkEnd w:id="68"/>
      <w:bookmarkEnd w:id="69"/>
      <w:r>
        <w:rPr>
          <w:rFonts w:eastAsia="Times New Roman" w:cs="Times New Roman" w:ascii="Times New Roman" w:hAnsi="Times New Roman"/>
          <w:color w:val="333333"/>
          <w:sz w:val="28"/>
          <w:szCs w:val="28"/>
        </w:rPr>
        <w:t>У приміщеннях центру, його територіальних підрозділів, у приміщеннях, де розміщені віддалені робочі місця адміністраторів, та на пересувних віддалених робочих місцях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70" w:name="n295"/>
      <w:bookmarkStart w:id="71" w:name="n199"/>
      <w:bookmarkEnd w:id="70"/>
      <w:bookmarkEnd w:id="71"/>
      <w:r>
        <w:rPr>
          <w:rFonts w:eastAsia="Times New Roman" w:cs="Times New Roman" w:ascii="Times New Roman" w:hAnsi="Times New Roman"/>
          <w:color w:val="333333"/>
          <w:sz w:val="28"/>
          <w:szCs w:val="28"/>
        </w:rPr>
        <w:t>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72" w:name="n297"/>
      <w:bookmarkStart w:id="73" w:name="n200"/>
      <w:bookmarkEnd w:id="72"/>
      <w:bookmarkEnd w:id="73"/>
      <w:r>
        <w:rPr>
          <w:rFonts w:eastAsia="Times New Roman" w:cs="Times New Roman" w:ascii="Times New Roman" w:hAnsi="Times New Roman"/>
          <w:color w:val="333333"/>
          <w:sz w:val="28"/>
          <w:szCs w:val="28"/>
        </w:rPr>
        <w:t>11. 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а також площа пересувного віддаленого робочого місця адміністратора “Мобільний центр” повинна бути достатньою для забезпечення зручних та комфортних умов для прийому суб’єктів звернення і роботи адміністраторів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74" w:name="n392"/>
      <w:bookmarkEnd w:id="74"/>
      <w:r>
        <w:rPr>
          <w:rFonts w:eastAsia="Times New Roman" w:cs="Times New Roman" w:ascii="Times New Roman" w:hAnsi="Times New Roman"/>
          <w:color w:val="333333"/>
          <w:sz w:val="28"/>
          <w:szCs w:val="28"/>
        </w:rPr>
        <w:t xml:space="preserve">Площа секторів очікування та обслуговування для центру становить </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75" w:name="n396"/>
      <w:bookmarkStart w:id="76" w:name="n393"/>
      <w:bookmarkEnd w:id="75"/>
      <w:bookmarkEnd w:id="76"/>
      <w:r>
        <w:rPr>
          <w:rFonts w:eastAsia="Times New Roman" w:cs="Times New Roman" w:ascii="Times New Roman" w:hAnsi="Times New Roman"/>
          <w:color w:val="333333"/>
          <w:sz w:val="28"/>
          <w:szCs w:val="28"/>
        </w:rPr>
        <w:t>не менш як 100 кв. метрів.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77" w:name="n397"/>
      <w:bookmarkStart w:id="78" w:name="n205"/>
      <w:bookmarkEnd w:id="77"/>
      <w:bookmarkEnd w:id="78"/>
      <w:r>
        <w:rPr>
          <w:rFonts w:eastAsia="Times New Roman" w:cs="Times New Roman" w:ascii="Times New Roman" w:hAnsi="Times New Roman"/>
          <w:color w:val="333333"/>
          <w:sz w:val="28"/>
          <w:szCs w:val="28"/>
        </w:rPr>
        <w:t>12. На інформаційних стендах або інформаційних терміналах розміщується інформація, зокрема, про:</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79" w:name="n206"/>
      <w:bookmarkStart w:id="80" w:name="n331"/>
      <w:bookmarkEnd w:id="79"/>
      <w:bookmarkEnd w:id="80"/>
      <w:r>
        <w:rPr>
          <w:rFonts w:eastAsia="Times New Roman" w:cs="Times New Roman" w:ascii="Times New Roman" w:hAnsi="Times New Roman"/>
          <w:color w:val="333333"/>
          <w:sz w:val="28"/>
          <w:szCs w:val="28"/>
        </w:rPr>
        <w:t>найменування центру, його місцезнаходження та місцезнаходження його територіальних підрозділів, віддалених робочих місць адміністраторів, місця розташування майданчиків, на яких працюють пересувні віддалені робочі місця адміністратора “Мобільний центр” (в разі їх утворення), номери телефонів для довідок, факсу, адресу веб-сайту, електронної пошти;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81" w:name="n302"/>
      <w:bookmarkStart w:id="82" w:name="n207"/>
      <w:bookmarkEnd w:id="81"/>
      <w:bookmarkEnd w:id="82"/>
      <w:r>
        <w:rPr>
          <w:rFonts w:eastAsia="Times New Roman" w:cs="Times New Roman" w:ascii="Times New Roman" w:hAnsi="Times New Roman"/>
          <w:color w:val="333333"/>
          <w:sz w:val="28"/>
          <w:szCs w:val="28"/>
        </w:rPr>
        <w:t>графік роботи центру, його територіальних підрозділів, віддалених (у тому числі пересувних) робочих місць адміністраторів (в разі їх утворення) (прийомні дні та години, вихідні дні), з урахуванням потреб суб’єктів звернення та відповідно до вимог </w:t>
      </w:r>
      <w:hyperlink r:id="rId4" w:tgtFrame="_blank">
        <w:r>
          <w:rPr>
            <w:rFonts w:eastAsia="Times New Roman" w:cs="Times New Roman" w:ascii="Times New Roman" w:hAnsi="Times New Roman"/>
            <w:color w:val="0000FF"/>
            <w:sz w:val="28"/>
            <w:szCs w:val="28"/>
            <w:u w:val="single"/>
          </w:rPr>
          <w:t>Закону України</w:t>
        </w:r>
      </w:hyperlink>
      <w:r>
        <w:rPr>
          <w:rFonts w:eastAsia="Times New Roman" w:cs="Times New Roman" w:ascii="Times New Roman" w:hAnsi="Times New Roman"/>
          <w:color w:val="333333"/>
          <w:sz w:val="28"/>
          <w:szCs w:val="28"/>
        </w:rPr>
        <w:t> “Про адміністративні послуги”;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83" w:name="n303"/>
      <w:bookmarkStart w:id="84" w:name="n208"/>
      <w:bookmarkEnd w:id="83"/>
      <w:bookmarkEnd w:id="84"/>
      <w:r>
        <w:rPr>
          <w:rFonts w:eastAsia="Times New Roman" w:cs="Times New Roman" w:ascii="Times New Roman" w:hAnsi="Times New Roman"/>
          <w:color w:val="333333"/>
          <w:sz w:val="28"/>
          <w:szCs w:val="28"/>
        </w:rPr>
        <w:t>перелік адміністративних послуг, які надаються через центр, його територіальні підрозділи, віддалені (у тому числі пересувні) робочі місця адміністраторів (в разі їх утворення), та відповідні інформаційні картки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85" w:name="n209"/>
      <w:bookmarkStart w:id="86" w:name="n304"/>
      <w:bookmarkEnd w:id="85"/>
      <w:bookmarkEnd w:id="86"/>
      <w:r>
        <w:rPr>
          <w:rFonts w:eastAsia="Times New Roman" w:cs="Times New Roman" w:ascii="Times New Roman" w:hAnsi="Times New Roman"/>
          <w:color w:val="333333"/>
          <w:sz w:val="28"/>
          <w:szCs w:val="28"/>
        </w:rPr>
        <w:t>строки надання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87" w:name="n210"/>
      <w:bookmarkEnd w:id="87"/>
      <w:r>
        <w:rPr>
          <w:rFonts w:eastAsia="Times New Roman" w:cs="Times New Roman" w:ascii="Times New Roman" w:hAnsi="Times New Roman"/>
          <w:color w:val="333333"/>
          <w:sz w:val="28"/>
          <w:szCs w:val="28"/>
        </w:rPr>
        <w:t>бланки заяв та інших документів, необхідних для звернення за отриманням адміністративних послуг, а також зразки їх заповнення;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88" w:name="n211"/>
      <w:bookmarkEnd w:id="88"/>
      <w:r>
        <w:rPr>
          <w:rFonts w:eastAsia="Times New Roman" w:cs="Times New Roman" w:ascii="Times New Roman" w:hAnsi="Times New Roman"/>
          <w:color w:val="333333"/>
          <w:sz w:val="28"/>
          <w:szCs w:val="28"/>
        </w:rPr>
        <w:t>платіжні реквізити для оплати платних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89" w:name="n212"/>
      <w:bookmarkEnd w:id="89"/>
      <w:r>
        <w:rPr>
          <w:rFonts w:eastAsia="Times New Roman" w:cs="Times New Roman" w:ascii="Times New Roman" w:hAnsi="Times New Roman"/>
          <w:color w:val="333333"/>
          <w:sz w:val="28"/>
          <w:szCs w:val="28"/>
        </w:rPr>
        <w:t>супутні послуги, які надаються в приміщенні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90" w:name="n213"/>
      <w:bookmarkEnd w:id="90"/>
      <w:r>
        <w:rPr>
          <w:rFonts w:eastAsia="Times New Roman" w:cs="Times New Roman" w:ascii="Times New Roman" w:hAnsi="Times New Roman"/>
          <w:color w:val="333333"/>
          <w:sz w:val="28"/>
          <w:szCs w:val="28"/>
        </w:rPr>
        <w:t>прізвище, ім’я, по батькові керівника центру, контактні телефони, адресу електронної пошти;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91" w:name="n214"/>
      <w:bookmarkEnd w:id="91"/>
      <w:r>
        <w:rPr>
          <w:rFonts w:eastAsia="Times New Roman" w:cs="Times New Roman" w:ascii="Times New Roman" w:hAnsi="Times New Roman"/>
          <w:color w:val="333333"/>
          <w:sz w:val="28"/>
          <w:szCs w:val="28"/>
        </w:rPr>
        <w:t>користування інформаційними терміналами (у разі їх наявності);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92" w:name="n215"/>
      <w:bookmarkEnd w:id="92"/>
      <w:r>
        <w:rPr>
          <w:rFonts w:eastAsia="Times New Roman" w:cs="Times New Roman" w:ascii="Times New Roman" w:hAnsi="Times New Roman"/>
          <w:color w:val="333333"/>
          <w:sz w:val="28"/>
          <w:szCs w:val="28"/>
        </w:rPr>
        <w:t>користування автоматизованою системою керування чергою (у разі її наявності);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93" w:name="n216"/>
      <w:bookmarkEnd w:id="93"/>
      <w:r>
        <w:rPr>
          <w:rFonts w:eastAsia="Times New Roman" w:cs="Times New Roman" w:ascii="Times New Roman" w:hAnsi="Times New Roman"/>
          <w:color w:val="333333"/>
          <w:sz w:val="28"/>
          <w:szCs w:val="28"/>
        </w:rPr>
        <w:t>положення про центр;</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94" w:name="n217"/>
      <w:bookmarkEnd w:id="94"/>
      <w:r>
        <w:rPr>
          <w:rFonts w:eastAsia="Times New Roman" w:cs="Times New Roman" w:ascii="Times New Roman" w:hAnsi="Times New Roman"/>
          <w:color w:val="333333"/>
          <w:sz w:val="28"/>
          <w:szCs w:val="28"/>
        </w:rPr>
        <w:t>регламент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95" w:name="n332"/>
      <w:bookmarkEnd w:id="95"/>
      <w:r>
        <w:rPr>
          <w:rFonts w:eastAsia="Times New Roman" w:cs="Times New Roman" w:ascii="Times New Roman" w:hAnsi="Times New Roman"/>
          <w:color w:val="333333"/>
          <w:sz w:val="28"/>
          <w:szCs w:val="28"/>
        </w:rPr>
        <w:t xml:space="preserve">графік прийому суб’єктів звернення посадовими особами </w:t>
      </w:r>
      <w:r>
        <w:rPr>
          <w:rFonts w:eastAsia="Times New Roman" w:cs="Times New Roman" w:ascii="Times New Roman" w:hAnsi="Times New Roman"/>
          <w:b w:val="false"/>
          <w:bCs w:val="false"/>
          <w:color w:val="333333"/>
          <w:sz w:val="28"/>
          <w:szCs w:val="28"/>
        </w:rPr>
        <w:t>виконавчого комітету Стрийської міської ради</w:t>
      </w:r>
      <w:r>
        <w:rPr>
          <w:rFonts w:eastAsia="Times New Roman" w:cs="Times New Roman" w:ascii="Times New Roman" w:hAnsi="Times New Roman"/>
          <w:color w:val="333333"/>
          <w:sz w:val="28"/>
          <w:szCs w:val="28"/>
        </w:rPr>
        <w:t>, представниками центральних органів виконавчої влади, представниками комунальних підприємств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 або на пересувних віддалених робочих місцях адміністраторів);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96" w:name="n398"/>
      <w:bookmarkStart w:id="97" w:name="n333"/>
      <w:bookmarkEnd w:id="96"/>
      <w:bookmarkEnd w:id="97"/>
      <w:r>
        <w:rPr>
          <w:rFonts w:eastAsia="Times New Roman" w:cs="Times New Roman" w:ascii="Times New Roman" w:hAnsi="Times New Roman"/>
          <w:color w:val="333333"/>
          <w:sz w:val="28"/>
          <w:szCs w:val="28"/>
        </w:rPr>
        <w:t>графік надання консультацій, прийому суб’єктів звернень суб’єктами, які забезпечують консультування та прийом у приміщеннях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98" w:name="n401"/>
      <w:bookmarkStart w:id="99" w:name="n399"/>
      <w:bookmarkEnd w:id="98"/>
      <w:bookmarkEnd w:id="99"/>
      <w:r>
        <w:rPr>
          <w:rFonts w:eastAsia="Times New Roman" w:cs="Times New Roman" w:ascii="Times New Roman" w:hAnsi="Times New Roman"/>
          <w:color w:val="333333"/>
          <w:sz w:val="28"/>
          <w:szCs w:val="28"/>
        </w:rPr>
        <w:t>інформацію щодо можливостей отримання послуг он-лайн в електронному вигляді;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00" w:name="n400"/>
      <w:bookmarkStart w:id="101" w:name="n402"/>
      <w:bookmarkEnd w:id="100"/>
      <w:bookmarkEnd w:id="101"/>
      <w:r>
        <w:rPr>
          <w:rFonts w:eastAsia="Times New Roman" w:cs="Times New Roman" w:ascii="Times New Roman" w:hAnsi="Times New Roman"/>
          <w:color w:val="333333"/>
          <w:sz w:val="28"/>
          <w:szCs w:val="28"/>
        </w:rPr>
        <w:t>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02" w:name="n218"/>
      <w:bookmarkStart w:id="103" w:name="n403"/>
      <w:bookmarkEnd w:id="102"/>
      <w:bookmarkEnd w:id="103"/>
      <w:r>
        <w:rPr>
          <w:rFonts w:eastAsia="Times New Roman" w:cs="Times New Roman" w:ascii="Times New Roman" w:hAnsi="Times New Roman"/>
          <w:color w:val="333333"/>
          <w:sz w:val="28"/>
          <w:szCs w:val="28"/>
        </w:rPr>
        <w:t>13. Перелік адміністративних послуг, які надаються через центр, його територіальні підрозділи, віддалені (у тому числі пересувні) робочі місця адміністраторів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04" w:name="n404"/>
      <w:bookmarkStart w:id="105" w:name="n336"/>
      <w:bookmarkEnd w:id="104"/>
      <w:bookmarkEnd w:id="105"/>
      <w:r>
        <w:rPr>
          <w:rFonts w:eastAsia="Times New Roman" w:cs="Times New Roman" w:ascii="Times New Roman" w:hAnsi="Times New Roman"/>
          <w:color w:val="333333"/>
          <w:sz w:val="28"/>
          <w:szCs w:val="28"/>
        </w:rPr>
        <w:t>Перелік адміністративних послуг, які надаються через територіальні підрозділи центру, віддалені (у тому числі пересувні) робочі місця адміністраторів (у разі їх утворення), затверджується органом, що утворив центр, з урахуванням потреб суб’єктів звернення.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06" w:name="n334"/>
      <w:bookmarkStart w:id="107" w:name="n219"/>
      <w:bookmarkEnd w:id="106"/>
      <w:bookmarkEnd w:id="107"/>
      <w:r>
        <w:rPr>
          <w:rFonts w:eastAsia="Times New Roman" w:cs="Times New Roman" w:ascii="Times New Roman" w:hAnsi="Times New Roman"/>
          <w:color w:val="333333"/>
          <w:sz w:val="28"/>
          <w:szCs w:val="28"/>
        </w:rPr>
        <w:t>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центру (веб-сайті Стрийської міської ради).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08" w:name="n337"/>
      <w:bookmarkStart w:id="109" w:name="n220"/>
      <w:bookmarkEnd w:id="108"/>
      <w:bookmarkEnd w:id="109"/>
      <w:r>
        <w:rPr>
          <w:rFonts w:eastAsia="Times New Roman" w:cs="Times New Roman" w:ascii="Times New Roman" w:hAnsi="Times New Roman"/>
          <w:color w:val="333333"/>
          <w:sz w:val="28"/>
          <w:szCs w:val="28"/>
        </w:rPr>
        <w:t>15. 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10" w:name="n339"/>
      <w:bookmarkEnd w:id="110"/>
      <w:r>
        <w:rPr>
          <w:rFonts w:eastAsia="Times New Roman" w:cs="Times New Roman" w:ascii="Times New Roman" w:hAnsi="Times New Roman"/>
          <w:color w:val="333333"/>
          <w:sz w:val="28"/>
          <w:szCs w:val="28"/>
        </w:rPr>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11" w:name="n221"/>
      <w:bookmarkStart w:id="112" w:name="n338"/>
      <w:bookmarkEnd w:id="111"/>
      <w:bookmarkEnd w:id="112"/>
      <w:r>
        <w:rPr>
          <w:rFonts w:eastAsia="Times New Roman" w:cs="Times New Roman" w:ascii="Times New Roman" w:hAnsi="Times New Roman"/>
          <w:color w:val="333333"/>
          <w:sz w:val="28"/>
          <w:szCs w:val="28"/>
        </w:rPr>
        <w:t>16. У разі надання адміністративних послуг через центр консультації з питань надання таких послуг проводяться (у тому числі представниками суб’єктів надання адміністративних послуг) виключно у центрі, його територіальних підрозділах, на віддалених робочих місцях адміністраторів.</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113" w:name="n306"/>
      <w:bookmarkStart w:id="114" w:name="n222"/>
      <w:bookmarkEnd w:id="113"/>
      <w:bookmarkEnd w:id="114"/>
      <w:r>
        <w:rPr>
          <w:rFonts w:eastAsia="Times New Roman" w:cs="Times New Roman" w:ascii="Times New Roman" w:hAnsi="Times New Roman"/>
          <w:b/>
          <w:bCs/>
          <w:color w:val="333333"/>
          <w:sz w:val="28"/>
          <w:szCs w:val="28"/>
        </w:rPr>
        <w:t>Інформаційна та технологічна картки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15" w:name="n223"/>
      <w:bookmarkEnd w:id="115"/>
      <w:r>
        <w:rPr>
          <w:rFonts w:eastAsia="Times New Roman" w:cs="Times New Roman" w:ascii="Times New Roman" w:hAnsi="Times New Roman"/>
          <w:color w:val="333333"/>
          <w:sz w:val="28"/>
          <w:szCs w:val="28"/>
        </w:rPr>
        <w:t>17. Орган, що утворив центр,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16" w:name="n224"/>
      <w:bookmarkEnd w:id="116"/>
      <w:r>
        <w:rPr>
          <w:rFonts w:eastAsia="Times New Roman" w:cs="Times New Roman" w:ascii="Times New Roman" w:hAnsi="Times New Roman"/>
          <w:color w:val="333333"/>
          <w:sz w:val="28"/>
          <w:szCs w:val="28"/>
        </w:rPr>
        <w:t>18. У разі внесення змін до законодавства щодо надання адміністративної послуги суб’єкт її надання своєчасно інформує про це орган, що утворив центр, а також керівника центру, готує пропозиції щодо внесення змін до інформаційних та/або технологічних карток згідно із законодавством.</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117" w:name="n225"/>
      <w:bookmarkEnd w:id="117"/>
      <w:r>
        <w:rPr>
          <w:rFonts w:eastAsia="Times New Roman" w:cs="Times New Roman" w:ascii="Times New Roman" w:hAnsi="Times New Roman"/>
          <w:b/>
          <w:bCs/>
          <w:color w:val="333333"/>
          <w:sz w:val="28"/>
          <w:szCs w:val="28"/>
        </w:rPr>
        <w:t>Робота інформаційного підрозділу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18" w:name="n226"/>
      <w:bookmarkEnd w:id="118"/>
      <w:r>
        <w:rPr>
          <w:rFonts w:eastAsia="Times New Roman" w:cs="Times New Roman" w:ascii="Times New Roman" w:hAnsi="Times New Roman"/>
          <w:color w:val="333333"/>
          <w:sz w:val="28"/>
          <w:szCs w:val="28"/>
        </w:rPr>
        <w:t>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19" w:name="n227"/>
      <w:bookmarkEnd w:id="119"/>
      <w:r>
        <w:rPr>
          <w:rFonts w:eastAsia="Times New Roman" w:cs="Times New Roman" w:ascii="Times New Roman" w:hAnsi="Times New Roman"/>
          <w:color w:val="333333"/>
          <w:sz w:val="28"/>
          <w:szCs w:val="28"/>
        </w:rPr>
        <w:t>Інформаційний підрозділ центру також:</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20" w:name="n228"/>
      <w:bookmarkEnd w:id="120"/>
      <w:r>
        <w:rPr>
          <w:rFonts w:eastAsia="Times New Roman" w:cs="Times New Roman" w:ascii="Times New Roman" w:hAnsi="Times New Roman"/>
          <w:color w:val="333333"/>
          <w:sz w:val="28"/>
          <w:szCs w:val="28"/>
        </w:rPr>
        <w:t>інформує за усним клопотанням суб’єкта звернення про належність порушеного ним питання до компетенції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21" w:name="n229"/>
      <w:bookmarkEnd w:id="121"/>
      <w:r>
        <w:rPr>
          <w:rFonts w:eastAsia="Times New Roman" w:cs="Times New Roman" w:ascii="Times New Roman" w:hAnsi="Times New Roman"/>
          <w:color w:val="333333"/>
          <w:sz w:val="28"/>
          <w:szCs w:val="28"/>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22" w:name="n230"/>
      <w:bookmarkEnd w:id="122"/>
      <w:r>
        <w:rPr>
          <w:rFonts w:eastAsia="Times New Roman" w:cs="Times New Roman" w:ascii="Times New Roman" w:hAnsi="Times New Roman"/>
          <w:color w:val="333333"/>
          <w:sz w:val="28"/>
          <w:szCs w:val="28"/>
        </w:rPr>
        <w:t>надає іншу інформацію та допомогу, що необхідні суб’єктам звернення до прийому їх адміністратором.</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23" w:name="n231"/>
      <w:bookmarkEnd w:id="123"/>
      <w:r>
        <w:rPr>
          <w:rFonts w:eastAsia="Times New Roman" w:cs="Times New Roman" w:ascii="Times New Roman" w:hAnsi="Times New Roman"/>
          <w:color w:val="333333"/>
          <w:sz w:val="28"/>
          <w:szCs w:val="28"/>
        </w:rPr>
        <w:t>20. Орган, що утворив центр, створює та забезпечує роботу веб-сайту центру або окремого розділу на своєму веб-сайті, де розміщується інформація, зазначена в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"n205"</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пункті 12</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 цього регламенту, а також відомості про найближчі зупинки громадського транспорту, під’їзні шляхи, місця паркування, доступність центру для осіб з інвалідністю з порушеннями зору, слуху, опорно-рухового апарату, інша корисна для суб’єктів звернення інформація.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24" w:name="n307"/>
      <w:bookmarkStart w:id="125" w:name="n232"/>
      <w:bookmarkEnd w:id="124"/>
      <w:bookmarkEnd w:id="125"/>
      <w:r>
        <w:rPr>
          <w:rFonts w:eastAsia="Times New Roman" w:cs="Times New Roman" w:ascii="Times New Roman" w:hAnsi="Times New Roman"/>
          <w:color w:val="333333"/>
          <w:sz w:val="28"/>
          <w:szCs w:val="28"/>
        </w:rPr>
        <w:t>21. Інформація, яка розміщується в приміщенні центру (в тому числі на інформаційних терміналах) та на веб-сайті, повинна бути актуальною і вичерпною.</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26" w:name="n233"/>
      <w:bookmarkEnd w:id="126"/>
      <w:r>
        <w:rPr>
          <w:rFonts w:eastAsia="Times New Roman" w:cs="Times New Roman" w:ascii="Times New Roman" w:hAnsi="Times New Roman"/>
          <w:color w:val="333333"/>
          <w:sz w:val="28"/>
          <w:szCs w:val="28"/>
        </w:rPr>
        <w:t>Інформація на веб-сайті центру має бути зручною для пошуку та копіювання.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27" w:name="n308"/>
      <w:bookmarkStart w:id="128" w:name="n234"/>
      <w:bookmarkEnd w:id="127"/>
      <w:bookmarkEnd w:id="128"/>
      <w:r>
        <w:rPr>
          <w:rFonts w:eastAsia="Times New Roman" w:cs="Times New Roman" w:ascii="Times New Roman" w:hAnsi="Times New Roman"/>
          <w:color w:val="333333"/>
          <w:sz w:val="28"/>
          <w:szCs w:val="28"/>
        </w:rPr>
        <w:t>22. Суб’єктам звернення, які звернулися до центру (його територіальних підрозділів, до адміністраторів, що працюють на віддалених (у тому числі пересувних)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129" w:name="n340"/>
      <w:bookmarkStart w:id="130" w:name="n235"/>
      <w:bookmarkEnd w:id="129"/>
      <w:bookmarkEnd w:id="130"/>
      <w:r>
        <w:rPr>
          <w:rFonts w:eastAsia="Times New Roman" w:cs="Times New Roman" w:ascii="Times New Roman" w:hAnsi="Times New Roman"/>
          <w:b/>
          <w:bCs/>
          <w:color w:val="333333"/>
          <w:sz w:val="28"/>
          <w:szCs w:val="28"/>
        </w:rPr>
        <w:t>Керування чергою в центрі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31" w:name="n236"/>
      <w:bookmarkEnd w:id="131"/>
      <w:r>
        <w:rPr>
          <w:rFonts w:eastAsia="Times New Roman" w:cs="Times New Roman" w:ascii="Times New Roman" w:hAnsi="Times New Roman"/>
          <w:color w:val="333333"/>
          <w:sz w:val="28"/>
          <w:szCs w:val="28"/>
        </w:rPr>
        <w:t>23. З метою забезпечення зручності та оперативності обслуговування суб’єктів звернення у центрі (його територіальних підрозділах, на віддалених (у тому числі пересувних) робочих місцях адміністраторів) вживаються заходи для запобігання утворенню черги, а у разі її утворення - для керування чергою.</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32" w:name="n237"/>
      <w:bookmarkStart w:id="133" w:name="n341"/>
      <w:bookmarkEnd w:id="132"/>
      <w:bookmarkEnd w:id="133"/>
      <w:r>
        <w:rPr>
          <w:rFonts w:eastAsia="Times New Roman" w:cs="Times New Roman" w:ascii="Times New Roman" w:hAnsi="Times New Roman"/>
          <w:color w:val="333333"/>
          <w:sz w:val="28"/>
          <w:szCs w:val="28"/>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34" w:name="n238"/>
      <w:bookmarkEnd w:id="134"/>
      <w:r>
        <w:rPr>
          <w:rFonts w:eastAsia="Times New Roman" w:cs="Times New Roman" w:ascii="Times New Roman" w:hAnsi="Times New Roman"/>
          <w:color w:val="333333"/>
          <w:sz w:val="28"/>
          <w:szCs w:val="28"/>
        </w:rPr>
        <w:t>25. У центрі, його територіальних підрозділах, на віддалених (у тому числі пересувних)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(у тому числі пересувних) робочих місцях, з використанням телефонного зв’язку та/або електронної реєстрації на веб-сайті центру (сторінки на веб-сайті органу, що утворив центр) чи за допомогою Національної веб-платформи центрів надання адміністративних послуг. Прийом суб’єктів звернення, які зареєструвалися шляхом попереднього запису, здійснюється у визначені керівником центру години.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35" w:name="n239"/>
      <w:bookmarkStart w:id="136" w:name="n342"/>
      <w:bookmarkEnd w:id="135"/>
      <w:bookmarkEnd w:id="136"/>
      <w:r>
        <w:rPr>
          <w:rFonts w:eastAsia="Times New Roman" w:cs="Times New Roman" w:ascii="Times New Roman" w:hAnsi="Times New Roman"/>
          <w:color w:val="333333"/>
          <w:sz w:val="28"/>
          <w:szCs w:val="28"/>
        </w:rPr>
        <w:t>26. Центр може здійснювати керування чергою в інший спосіб, гарантуючи дотримання принципу рівності суб’єктів звернення.</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137" w:name="n240"/>
      <w:bookmarkEnd w:id="137"/>
      <w:r>
        <w:rPr>
          <w:rFonts w:eastAsia="Times New Roman" w:cs="Times New Roman" w:ascii="Times New Roman" w:hAnsi="Times New Roman"/>
          <w:b/>
          <w:bCs/>
          <w:color w:val="333333"/>
          <w:sz w:val="28"/>
          <w:szCs w:val="28"/>
        </w:rPr>
        <w:t>Прийняття заяви та інших документів у центрі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38" w:name="n241"/>
      <w:bookmarkEnd w:id="138"/>
      <w:r>
        <w:rPr>
          <w:rFonts w:eastAsia="Times New Roman" w:cs="Times New Roman" w:ascii="Times New Roman" w:hAnsi="Times New Roman"/>
          <w:color w:val="333333"/>
          <w:sz w:val="28"/>
          <w:szCs w:val="28"/>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(у тому числі пересувних) робочих місцях адміністраторів (в разі їх утворення).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39" w:name="n343"/>
      <w:bookmarkStart w:id="140" w:name="n405"/>
      <w:bookmarkEnd w:id="139"/>
      <w:bookmarkEnd w:id="140"/>
      <w:r>
        <w:rPr>
          <w:rFonts w:eastAsia="Times New Roman" w:cs="Times New Roman" w:ascii="Times New Roman" w:hAnsi="Times New Roman"/>
          <w:color w:val="333333"/>
          <w:sz w:val="28"/>
          <w:szCs w:val="28"/>
        </w:rPr>
        <w:t>За рішенням органу, який утворив центр, окремі завдання адміністратора, пов’язані з отриманням вхідного пакета документів, видачею результатів надання адміністративних послуг, може виконувати староста, а також у випадках, передбачених законодавством, інша уповноважена посадова особа виконавчого органу сільської, селищної, міської ради, військово-цивільної адміністрації населеного пункту.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41" w:name="n408"/>
      <w:bookmarkStart w:id="142" w:name="n409"/>
      <w:bookmarkEnd w:id="141"/>
      <w:bookmarkEnd w:id="142"/>
      <w:r>
        <w:rPr>
          <w:rFonts w:eastAsia="Times New Roman" w:cs="Times New Roman" w:ascii="Times New Roman" w:hAnsi="Times New Roman"/>
          <w:color w:val="333333"/>
          <w:sz w:val="28"/>
          <w:szCs w:val="28"/>
        </w:rPr>
        <w:t>У випадках, передбачених законодавством, а також на вимогу суб’єкта звернення адміністратор центру складає заяву в електронній формі, друкує її та надає суб’єкту звернення для перевірки та підписання.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43" w:name="n311"/>
      <w:bookmarkStart w:id="144" w:name="n407"/>
      <w:bookmarkEnd w:id="143"/>
      <w:bookmarkEnd w:id="144"/>
      <w:r>
        <w:rPr>
          <w:rFonts w:eastAsia="Times New Roman" w:cs="Times New Roman" w:ascii="Times New Roman" w:hAnsi="Times New Roman"/>
          <w:color w:val="333333"/>
          <w:sz w:val="28"/>
          <w:szCs w:val="28"/>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45" w:name="n312"/>
      <w:bookmarkStart w:id="146" w:name="n313"/>
      <w:bookmarkEnd w:id="145"/>
      <w:bookmarkEnd w:id="146"/>
      <w:r>
        <w:rPr>
          <w:rFonts w:eastAsia="Times New Roman" w:cs="Times New Roman" w:ascii="Times New Roman" w:hAnsi="Times New Roman"/>
          <w:color w:val="333333"/>
          <w:sz w:val="28"/>
          <w:szCs w:val="28"/>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47" w:name="n242"/>
      <w:bookmarkStart w:id="148" w:name="n310"/>
      <w:bookmarkEnd w:id="147"/>
      <w:bookmarkEnd w:id="148"/>
      <w:r>
        <w:rPr>
          <w:rFonts w:eastAsia="Times New Roman" w:cs="Times New Roman" w:ascii="Times New Roman" w:hAnsi="Times New Roman"/>
          <w:color w:val="333333"/>
          <w:sz w:val="28"/>
          <w:szCs w:val="28"/>
        </w:rPr>
        <w:t>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5" w:tgtFrame="_blank">
        <w:r>
          <w:rPr>
            <w:rFonts w:eastAsia="Times New Roman" w:cs="Times New Roman" w:ascii="Times New Roman" w:hAnsi="Times New Roman"/>
            <w:color w:val="0000FF"/>
            <w:sz w:val="28"/>
            <w:szCs w:val="28"/>
            <w:u w:val="single"/>
          </w:rPr>
          <w:t>Закону України “Про дозвільну систему у сфері господарської діяльності”</w:t>
        </w:r>
      </w:hyperlink>
      <w:r>
        <w:rPr>
          <w:rFonts w:eastAsia="Times New Roman" w:cs="Times New Roman" w:ascii="Times New Roman" w:hAnsi="Times New Roman"/>
          <w:color w:val="333333"/>
          <w:sz w:val="28"/>
          <w:szCs w:val="28"/>
        </w:rPr>
        <w:t>.</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49" w:name="n243"/>
      <w:bookmarkStart w:id="150" w:name="n344"/>
      <w:bookmarkEnd w:id="149"/>
      <w:bookmarkEnd w:id="150"/>
      <w:r>
        <w:rPr>
          <w:rFonts w:eastAsia="Times New Roman" w:cs="Times New Roman" w:ascii="Times New Roman" w:hAnsi="Times New Roman"/>
          <w:color w:val="333333"/>
          <w:sz w:val="28"/>
          <w:szCs w:val="28"/>
        </w:rPr>
        <w:t>29. Суб’єкт звернення має право подати вхідний пакет документів у центрі (його територіальному підрозділі, віддаленому (у тому числі пересувному)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51" w:name="n410"/>
      <w:bookmarkStart w:id="152" w:name="n315"/>
      <w:bookmarkEnd w:id="151"/>
      <w:bookmarkEnd w:id="152"/>
      <w:r>
        <w:rPr>
          <w:rFonts w:eastAsia="Times New Roman" w:cs="Times New Roman" w:ascii="Times New Roman" w:hAnsi="Times New Roman"/>
          <w:color w:val="333333"/>
          <w:sz w:val="28"/>
          <w:szCs w:val="28"/>
        </w:rPr>
        <w:t>Заява для отримання адміністративної послуги в електронній формі подається через Єдиний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53" w:name="n411"/>
      <w:bookmarkStart w:id="154" w:name="n314"/>
      <w:bookmarkStart w:id="155" w:name="n244"/>
      <w:bookmarkEnd w:id="153"/>
      <w:bookmarkEnd w:id="154"/>
      <w:bookmarkEnd w:id="155"/>
      <w:r>
        <w:rPr>
          <w:rFonts w:eastAsia="Times New Roman" w:cs="Times New Roman" w:ascii="Times New Roman" w:hAnsi="Times New Roman"/>
          <w:color w:val="333333"/>
          <w:sz w:val="28"/>
          <w:szCs w:val="28"/>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56" w:name="n245"/>
      <w:bookmarkStart w:id="157" w:name="n316"/>
      <w:bookmarkEnd w:id="156"/>
      <w:bookmarkEnd w:id="157"/>
      <w:r>
        <w:rPr>
          <w:rFonts w:eastAsia="Times New Roman" w:cs="Times New Roman" w:ascii="Times New Roman" w:hAnsi="Times New Roman"/>
          <w:color w:val="333333"/>
          <w:sz w:val="28"/>
          <w:szCs w:val="28"/>
        </w:rPr>
        <w:t>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58" w:name="n246"/>
      <w:bookmarkStart w:id="159" w:name="n247"/>
      <w:bookmarkEnd w:id="158"/>
      <w:bookmarkEnd w:id="159"/>
      <w:r>
        <w:rPr>
          <w:rFonts w:eastAsia="Times New Roman" w:cs="Times New Roman" w:ascii="Times New Roman" w:hAnsi="Times New Roman"/>
          <w:color w:val="333333"/>
          <w:sz w:val="28"/>
          <w:szCs w:val="28"/>
        </w:rPr>
        <w:t>33.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60" w:name="n248"/>
      <w:bookmarkEnd w:id="160"/>
      <w:r>
        <w:rPr>
          <w:rFonts w:eastAsia="Times New Roman" w:cs="Times New Roman" w:ascii="Times New Roman" w:hAnsi="Times New Roman"/>
          <w:color w:val="333333"/>
          <w:sz w:val="28"/>
          <w:szCs w:val="28"/>
        </w:rPr>
        <w:t>34.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61" w:name="n249"/>
      <w:bookmarkEnd w:id="161"/>
      <w:r>
        <w:rPr>
          <w:rFonts w:eastAsia="Times New Roman" w:cs="Times New Roman" w:ascii="Times New Roman" w:hAnsi="Times New Roman"/>
          <w:color w:val="333333"/>
          <w:sz w:val="28"/>
          <w:szCs w:val="28"/>
        </w:rPr>
        <w:t>35.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(у тому числі пересувному) робочому місці адміністратора (в разі їх утворення), спосіб передачі суб’єктові 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62" w:name="n250"/>
      <w:bookmarkStart w:id="163" w:name="n317"/>
      <w:bookmarkEnd w:id="162"/>
      <w:bookmarkEnd w:id="163"/>
      <w:r>
        <w:rPr>
          <w:rFonts w:eastAsia="Times New Roman" w:cs="Times New Roman" w:ascii="Times New Roman" w:hAnsi="Times New Roman"/>
          <w:color w:val="333333"/>
          <w:sz w:val="28"/>
          <w:szCs w:val="28"/>
        </w:rPr>
        <w:t>36.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64" w:name="n345"/>
      <w:bookmarkEnd w:id="164"/>
      <w:r>
        <w:rPr>
          <w:rFonts w:eastAsia="Times New Roman" w:cs="Times New Roman" w:ascii="Times New Roman" w:hAnsi="Times New Roman"/>
          <w:color w:val="333333"/>
          <w:sz w:val="28"/>
          <w:szCs w:val="28"/>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(у тому числі пересувному)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(у тому числі пересувному) робочому місці адміністратора.</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65" w:name="n346"/>
      <w:bookmarkStart w:id="166" w:name="n251"/>
      <w:bookmarkEnd w:id="165"/>
      <w:bookmarkEnd w:id="166"/>
      <w:r>
        <w:rPr>
          <w:rFonts w:eastAsia="Times New Roman" w:cs="Times New Roman" w:ascii="Times New Roman" w:hAnsi="Times New Roman"/>
          <w:color w:val="333333"/>
          <w:sz w:val="28"/>
          <w:szCs w:val="28"/>
        </w:rPr>
        <w:t>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bookmarkStart w:id="167" w:name="n318"/>
      <w:bookmarkEnd w:id="167"/>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68" w:name="n252"/>
      <w:bookmarkEnd w:id="168"/>
      <w:r>
        <w:rPr>
          <w:rFonts w:eastAsia="Times New Roman" w:cs="Times New Roman" w:ascii="Times New Roman" w:hAnsi="Times New Roman"/>
          <w:color w:val="333333"/>
          <w:sz w:val="28"/>
          <w:szCs w:val="28"/>
        </w:rPr>
        <w:t>38.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69" w:name="n253"/>
      <w:bookmarkEnd w:id="169"/>
      <w:r>
        <w:rPr>
          <w:rFonts w:eastAsia="Times New Roman" w:cs="Times New Roman" w:ascii="Times New Roman" w:hAnsi="Times New Roman"/>
          <w:color w:val="333333"/>
          <w:sz w:val="28"/>
          <w:szCs w:val="28"/>
        </w:rPr>
        <w:t>39.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170" w:name="n254"/>
      <w:bookmarkEnd w:id="170"/>
      <w:r>
        <w:rPr>
          <w:rFonts w:eastAsia="Times New Roman" w:cs="Times New Roman" w:ascii="Times New Roman" w:hAnsi="Times New Roman"/>
          <w:b/>
          <w:bCs/>
          <w:color w:val="333333"/>
          <w:sz w:val="28"/>
          <w:szCs w:val="28"/>
        </w:rPr>
        <w:t>Опрацювання справи (вхідного пакета документів)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71" w:name="n255"/>
      <w:bookmarkEnd w:id="171"/>
      <w:r>
        <w:rPr>
          <w:rFonts w:eastAsia="Times New Roman" w:cs="Times New Roman" w:ascii="Times New Roman" w:hAnsi="Times New Roman"/>
          <w:color w:val="333333"/>
          <w:sz w:val="28"/>
          <w:szCs w:val="28"/>
        </w:rPr>
        <w:t>40. Після вчинення дій, передбачених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"n241"</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пунктами 27-39</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та у разі потреби оформляється акт приймання-передачі.</w:t>
      </w:r>
    </w:p>
    <w:p>
      <w:pPr>
        <w:pStyle w:val="Normal"/>
        <w:spacing w:lineRule="auto" w:line="240" w:before="0" w:after="91"/>
        <w:ind w:firstLine="273"/>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41. 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відсканованих документів з використанням засобів телекомунікаційного зв’язку або в інший спосіб.</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72" w:name="n412"/>
      <w:bookmarkEnd w:id="172"/>
      <w:r>
        <w:rPr>
          <w:rFonts w:eastAsia="Times New Roman" w:cs="Times New Roman" w:ascii="Times New Roman" w:hAnsi="Times New Roman"/>
          <w:color w:val="333333"/>
          <w:sz w:val="28"/>
          <w:szCs w:val="28"/>
        </w:rPr>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 крім випадків, передбачених законодавством.</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73" w:name="n413"/>
      <w:bookmarkStart w:id="174" w:name="n257"/>
      <w:bookmarkEnd w:id="173"/>
      <w:bookmarkEnd w:id="174"/>
      <w:r>
        <w:rPr>
          <w:rFonts w:eastAsia="Times New Roman" w:cs="Times New Roman" w:ascii="Times New Roman" w:hAnsi="Times New Roman"/>
          <w:color w:val="333333"/>
          <w:sz w:val="28"/>
          <w:szCs w:val="28"/>
        </w:rPr>
        <w:t>42.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 та до акта приймання-передачі (у разі його оформлення).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75" w:name="n258"/>
      <w:bookmarkStart w:id="176" w:name="n414"/>
      <w:bookmarkEnd w:id="175"/>
      <w:bookmarkEnd w:id="176"/>
      <w:r>
        <w:rPr>
          <w:rFonts w:eastAsia="Times New Roman" w:cs="Times New Roman" w:ascii="Times New Roman" w:hAnsi="Times New Roman"/>
          <w:color w:val="333333"/>
          <w:sz w:val="28"/>
          <w:szCs w:val="28"/>
        </w:rPr>
        <w:t>43.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77" w:name="n259"/>
      <w:bookmarkEnd w:id="177"/>
      <w:r>
        <w:rPr>
          <w:rFonts w:eastAsia="Times New Roman" w:cs="Times New Roman" w:ascii="Times New Roman" w:hAnsi="Times New Roman"/>
          <w:color w:val="333333"/>
          <w:sz w:val="28"/>
          <w:szCs w:val="28"/>
        </w:rPr>
        <w:t>44. Суб’єкт надання адміністративної послуги зобов’язаний:</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78" w:name="n260"/>
      <w:bookmarkEnd w:id="178"/>
      <w:r>
        <w:rPr>
          <w:rFonts w:eastAsia="Times New Roman" w:cs="Times New Roman" w:ascii="Times New Roman" w:hAnsi="Times New Roman"/>
          <w:color w:val="333333"/>
          <w:sz w:val="28"/>
          <w:szCs w:val="28"/>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79" w:name="n261"/>
      <w:bookmarkEnd w:id="179"/>
      <w:r>
        <w:rPr>
          <w:rFonts w:eastAsia="Times New Roman" w:cs="Times New Roman" w:ascii="Times New Roman" w:hAnsi="Times New Roman"/>
          <w:color w:val="333333"/>
          <w:sz w:val="28"/>
          <w:szCs w:val="28"/>
        </w:rPr>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80" w:name="n262"/>
      <w:bookmarkEnd w:id="180"/>
      <w:r>
        <w:rPr>
          <w:rFonts w:eastAsia="Times New Roman" w:cs="Times New Roman" w:ascii="Times New Roman" w:hAnsi="Times New Roman"/>
          <w:color w:val="333333"/>
          <w:sz w:val="28"/>
          <w:szCs w:val="28"/>
        </w:rPr>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181" w:name="n263"/>
      <w:bookmarkEnd w:id="181"/>
      <w:r>
        <w:rPr>
          <w:rFonts w:eastAsia="Times New Roman" w:cs="Times New Roman" w:ascii="Times New Roman" w:hAnsi="Times New Roman"/>
          <w:b/>
          <w:bCs/>
          <w:color w:val="333333"/>
          <w:sz w:val="28"/>
          <w:szCs w:val="28"/>
        </w:rPr>
        <w:t>Передача вихідного пакета документів суб’єктові звернення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82" w:name="n264"/>
      <w:bookmarkEnd w:id="182"/>
      <w:r>
        <w:rPr>
          <w:rFonts w:eastAsia="Times New Roman" w:cs="Times New Roman" w:ascii="Times New Roman" w:hAnsi="Times New Roman"/>
          <w:color w:val="333333"/>
          <w:sz w:val="28"/>
          <w:szCs w:val="28"/>
        </w:rPr>
        <w:t>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територіального підрозділу, віддаленого (у тому числі пересувного) робочого місця адміністратора (в разі їх утворення), про що зазначається в листі про проходження справи та в акті приймання-передачі (у разі його оформлення).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83" w:name="n265"/>
      <w:bookmarkStart w:id="184" w:name="n321"/>
      <w:bookmarkEnd w:id="183"/>
      <w:bookmarkEnd w:id="184"/>
      <w:r>
        <w:rPr>
          <w:rFonts w:eastAsia="Times New Roman" w:cs="Times New Roman" w:ascii="Times New Roman" w:hAnsi="Times New Roman"/>
          <w:color w:val="333333"/>
          <w:sz w:val="28"/>
          <w:szCs w:val="28"/>
        </w:rPr>
        <w:t>46.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85" w:name="n266"/>
      <w:bookmarkEnd w:id="185"/>
      <w:r>
        <w:rPr>
          <w:rFonts w:eastAsia="Times New Roman" w:cs="Times New Roman" w:ascii="Times New Roman" w:hAnsi="Times New Roman"/>
          <w:color w:val="333333"/>
          <w:sz w:val="28"/>
          <w:szCs w:val="28"/>
        </w:rPr>
        <w:t>47.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86" w:name="n322"/>
      <w:bookmarkStart w:id="187" w:name="n267"/>
      <w:bookmarkEnd w:id="186"/>
      <w:bookmarkEnd w:id="187"/>
      <w:r>
        <w:rPr>
          <w:rFonts w:eastAsia="Times New Roman" w:cs="Times New Roman" w:ascii="Times New Roman" w:hAnsi="Times New Roman"/>
          <w:color w:val="333333"/>
          <w:sz w:val="28"/>
          <w:szCs w:val="28"/>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органом, що утворив центр, і зберігається в матеріалах справи.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88" w:name="n323"/>
      <w:bookmarkStart w:id="189" w:name="n516"/>
      <w:bookmarkEnd w:id="188"/>
      <w:bookmarkEnd w:id="189"/>
      <w:r>
        <w:rPr>
          <w:rFonts w:eastAsia="Times New Roman" w:cs="Times New Roman" w:ascii="Times New Roman" w:hAnsi="Times New Roman"/>
          <w:color w:val="333333"/>
          <w:sz w:val="28"/>
          <w:szCs w:val="28"/>
        </w:rPr>
        <w:t>У разі коли способом отримання результатів надання адміністративних послуг обрано засоби поштового зв’язку, такий документ вкладається в рекомендований лист з позначкою “Адміністративна послуга”, яка проставляється працівником центру, і передається представнику оператора поштового зв’язку за накладною, під підпис.</w:t>
      </w:r>
      <w:bookmarkStart w:id="190" w:name="n517"/>
      <w:bookmarkEnd w:id="190"/>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91" w:name="n268"/>
      <w:bookmarkEnd w:id="191"/>
      <w:r>
        <w:rPr>
          <w:rFonts w:eastAsia="Times New Roman" w:cs="Times New Roman" w:ascii="Times New Roman" w:hAnsi="Times New Roman"/>
          <w:color w:val="333333"/>
          <w:sz w:val="28"/>
          <w:szCs w:val="28"/>
        </w:rPr>
        <w:t>48. У разі незазначення суб’єктом звернення зручного для нього способу отримання вихідного пакета документів та/або його неотримання в центрі протягом трьох місяців відповідні документи передаються суб’єкту надання адміністративних послуг для архівного зберігання.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92" w:name="n415"/>
      <w:bookmarkStart w:id="193" w:name="n269"/>
      <w:bookmarkEnd w:id="192"/>
      <w:bookmarkEnd w:id="193"/>
      <w:r>
        <w:rPr>
          <w:rFonts w:eastAsia="Times New Roman" w:cs="Times New Roman" w:ascii="Times New Roman" w:hAnsi="Times New Roman"/>
          <w:color w:val="333333"/>
          <w:sz w:val="28"/>
          <w:szCs w:val="28"/>
        </w:rPr>
        <w:t>49.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94" w:name="n270"/>
      <w:bookmarkEnd w:id="194"/>
      <w:r>
        <w:rPr>
          <w:rFonts w:eastAsia="Times New Roman" w:cs="Times New Roman" w:ascii="Times New Roman" w:hAnsi="Times New Roman"/>
          <w:color w:val="333333"/>
          <w:sz w:val="28"/>
          <w:szCs w:val="28"/>
        </w:rPr>
        <w:t>50.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95" w:name="n271"/>
      <w:bookmarkEnd w:id="195"/>
      <w:r>
        <w:rPr>
          <w:rFonts w:eastAsia="Times New Roman" w:cs="Times New Roman" w:ascii="Times New Roman" w:hAnsi="Times New Roman"/>
          <w:color w:val="333333"/>
          <w:sz w:val="28"/>
          <w:szCs w:val="28"/>
        </w:rPr>
        <w:t>51.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адміністратора.</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96" w:name="n369"/>
      <w:bookmarkEnd w:id="196"/>
      <w:r>
        <w:rPr>
          <w:rFonts w:eastAsia="Times New Roman" w:cs="Times New Roman" w:ascii="Times New Roman" w:hAnsi="Times New Roman"/>
          <w:color w:val="333333"/>
          <w:sz w:val="28"/>
          <w:szCs w:val="28"/>
        </w:rPr>
        <w:t>У разі надання адміністративної послуги за допомогою державних реєстрів інформація про послугу зберігається у відповідному реєстрі.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97" w:name="n370"/>
      <w:bookmarkEnd w:id="197"/>
      <w:r>
        <w:rPr>
          <w:rFonts w:eastAsia="Times New Roman" w:cs="Times New Roman" w:ascii="Times New Roman" w:hAnsi="Times New Roman"/>
          <w:color w:val="333333"/>
          <w:sz w:val="28"/>
          <w:szCs w:val="28"/>
        </w:rPr>
        <w:t>Інформація про адміністративні послуги, надані територіальним підрозділом, адміністратором центру, що працює на віддаленому (у тому числі пересувному) робочому місці, подається центру для узагальнення в порядку, визначеному регламентом центру.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198" w:name="n416"/>
      <w:bookmarkStart w:id="199" w:name="n371"/>
      <w:bookmarkEnd w:id="198"/>
      <w:bookmarkEnd w:id="199"/>
      <w:r>
        <w:rPr>
          <w:rFonts w:eastAsia="Times New Roman" w:cs="Times New Roman" w:ascii="Times New Roman" w:hAnsi="Times New Roman"/>
          <w:color w:val="333333"/>
          <w:sz w:val="28"/>
          <w:szCs w:val="28"/>
        </w:rPr>
        <w:t>Усі матеріали справи зберігаються у суб’єкта надання адміністративної послуги.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00" w:name="n417"/>
      <w:bookmarkStart w:id="201" w:name="n324"/>
      <w:bookmarkEnd w:id="200"/>
      <w:bookmarkEnd w:id="201"/>
      <w:r>
        <w:rPr>
          <w:rFonts w:eastAsia="Times New Roman" w:cs="Times New Roman" w:ascii="Times New Roman" w:hAnsi="Times New Roman"/>
          <w:color w:val="333333"/>
          <w:sz w:val="28"/>
          <w:szCs w:val="28"/>
        </w:rPr>
        <w:t>51</w:t>
      </w:r>
      <w:r>
        <w:rPr>
          <w:rFonts w:eastAsia="Times New Roman" w:cs="Times New Roman" w:ascii="Times New Roman" w:hAnsi="Times New Roman"/>
          <w:b/>
          <w:bCs/>
          <w:color w:val="333333"/>
          <w:sz w:val="28"/>
          <w:szCs w:val="28"/>
          <w:vertAlign w:val="superscript"/>
        </w:rPr>
        <w:t>-1</w:t>
      </w:r>
      <w:r>
        <w:rPr>
          <w:rFonts w:eastAsia="Times New Roman" w:cs="Times New Roman" w:ascii="Times New Roman" w:hAnsi="Times New Roman"/>
          <w:color w:val="333333"/>
          <w:sz w:val="28"/>
          <w:szCs w:val="28"/>
        </w:rPr>
        <w:t>. Суб’єкт звернення може відкликати свою заяву про надання адміністративної послуги до моменту прийняття рішення у справі, крім випадків, визначених законодавством.</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02" w:name="n418"/>
      <w:bookmarkEnd w:id="202"/>
      <w:r>
        <w:rPr>
          <w:rFonts w:eastAsia="Times New Roman" w:cs="Times New Roman" w:ascii="Times New Roman" w:hAnsi="Times New Roman"/>
          <w:color w:val="333333"/>
          <w:sz w:val="28"/>
          <w:szCs w:val="28"/>
        </w:rPr>
        <w:t>Адміністратор центру невідкладно у день надходження заяви здійснює її реєстрацію, про що робиться відмітка в листі про проходження справи із зазначенням часу та дати отримання заяви про відкликання, та невідкладно, але не пізніше наступного робочого дня, передає суб’єкту надання адміністративної послуги, якому передано вхідний пакет документів щодо даної справи.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03" w:name="n419"/>
      <w:bookmarkEnd w:id="203"/>
      <w:r>
        <w:rPr>
          <w:rFonts w:eastAsia="Times New Roman" w:cs="Times New Roman" w:ascii="Times New Roman" w:hAnsi="Times New Roman"/>
          <w:color w:val="333333"/>
          <w:sz w:val="28"/>
          <w:szCs w:val="28"/>
        </w:rPr>
        <w:t>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для надання адміністративної послуги, до центру, про що зазначається в листі про проходження справи та в акті приймання-передачі (у разі його оформлення).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04" w:name="n420"/>
      <w:bookmarkEnd w:id="204"/>
      <w:r>
        <w:rPr>
          <w:rFonts w:eastAsia="Times New Roman" w:cs="Times New Roman" w:ascii="Times New Roman" w:hAnsi="Times New Roman"/>
          <w:color w:val="333333"/>
          <w:sz w:val="28"/>
          <w:szCs w:val="28"/>
        </w:rPr>
        <w:t>Адміністратор центру невідкладно у день надходження оригіналів документів від суб’єкта надання адміністративної послуги повідомляє про це суб’єкту звернення.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05" w:name="n421"/>
      <w:bookmarkEnd w:id="205"/>
      <w:r>
        <w:rPr>
          <w:rFonts w:eastAsia="Times New Roman" w:cs="Times New Roman" w:ascii="Times New Roman" w:hAnsi="Times New Roman"/>
          <w:color w:val="333333"/>
          <w:sz w:val="28"/>
          <w:szCs w:val="28"/>
        </w:rPr>
        <w:t>Відкликання заяви про надання адміністративної послуги здійснюється з урахуванням процедур, визначених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"n241"</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пунктами 27-51</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 цього регламенту.</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206" w:name="n422"/>
      <w:bookmarkStart w:id="207" w:name="n353"/>
      <w:bookmarkEnd w:id="206"/>
      <w:bookmarkEnd w:id="207"/>
      <w:r>
        <w:rPr>
          <w:rFonts w:eastAsia="Times New Roman" w:cs="Times New Roman" w:ascii="Times New Roman" w:hAnsi="Times New Roman"/>
          <w:b/>
          <w:bCs/>
          <w:color w:val="333333"/>
          <w:sz w:val="28"/>
          <w:szCs w:val="28"/>
        </w:rPr>
        <w:t>Особливості діяльності територіального підрозділу центру, адміністратора центру, що працює на віддаленому робочому місці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08" w:name="n354"/>
      <w:bookmarkEnd w:id="208"/>
      <w:r>
        <w:rPr>
          <w:rFonts w:eastAsia="Times New Roman" w:cs="Times New Roman" w:ascii="Times New Roman" w:hAnsi="Times New Roman"/>
          <w:color w:val="333333"/>
          <w:sz w:val="28"/>
          <w:szCs w:val="28"/>
        </w:rPr>
        <w:t>52. Рішення про утворення та розміщення територіального підрозділу, віддаленого (у тому числі пересувного) робочого місця адміністратора приймається Стрийською міською радою, відповідно до вимог, зазначених у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"n177"</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пунктах 5</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 і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"n194"</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8</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 цього регламенту, та з урахуванням потреб суб’єктів звернення, кількості населення, що буде ними обслуговуватися, та обсягу послуг, що надаватимуться.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09" w:name="n423"/>
      <w:bookmarkStart w:id="210" w:name="n355"/>
      <w:bookmarkEnd w:id="209"/>
      <w:bookmarkEnd w:id="210"/>
      <w:r>
        <w:rPr>
          <w:rFonts w:eastAsia="Times New Roman" w:cs="Times New Roman" w:ascii="Times New Roman" w:hAnsi="Times New Roman"/>
          <w:color w:val="333333"/>
          <w:sz w:val="28"/>
          <w:szCs w:val="28"/>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11" w:name="n356"/>
      <w:bookmarkEnd w:id="211"/>
      <w:r>
        <w:rPr>
          <w:rFonts w:eastAsia="Times New Roman" w:cs="Times New Roman" w:ascii="Times New Roman" w:hAnsi="Times New Roman"/>
          <w:color w:val="333333"/>
          <w:sz w:val="28"/>
          <w:szCs w:val="28"/>
        </w:rPr>
        <w:t>Територіальний підрозділ центру, адміністратор центру, що працює на віддаленому (у тому числі пересувному) робочому місці, можуть обслуговувати населення одного або кількох старостинських округів.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12" w:name="n424"/>
      <w:bookmarkStart w:id="213" w:name="n359"/>
      <w:bookmarkEnd w:id="212"/>
      <w:bookmarkEnd w:id="213"/>
      <w:r>
        <w:rPr>
          <w:rFonts w:eastAsia="Times New Roman" w:cs="Times New Roman" w:ascii="Times New Roman" w:hAnsi="Times New Roman"/>
          <w:color w:val="333333"/>
          <w:sz w:val="28"/>
          <w:szCs w:val="28"/>
        </w:rPr>
        <w:t>53. У приміщенні територіального підрозділу,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"n194"</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пунктом 8</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 цього регламенту.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14" w:name="n425"/>
      <w:bookmarkStart w:id="215" w:name="n360"/>
      <w:bookmarkEnd w:id="214"/>
      <w:bookmarkEnd w:id="215"/>
      <w:r>
        <w:rPr>
          <w:rFonts w:eastAsia="Times New Roman" w:cs="Times New Roman" w:ascii="Times New Roman" w:hAnsi="Times New Roman"/>
          <w:color w:val="333333"/>
          <w:sz w:val="28"/>
          <w:szCs w:val="28"/>
        </w:rPr>
        <w:t>54.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216" w:name="n364"/>
      <w:bookmarkStart w:id="217" w:name="n361"/>
      <w:bookmarkEnd w:id="216"/>
      <w:bookmarkEnd w:id="217"/>
      <w:r>
        <w:rPr>
          <w:rFonts w:eastAsia="Times New Roman" w:cs="Times New Roman" w:ascii="Times New Roman" w:hAnsi="Times New Roman"/>
          <w:b/>
          <w:bCs/>
          <w:color w:val="333333"/>
          <w:sz w:val="28"/>
          <w:szCs w:val="28"/>
        </w:rPr>
        <w:t>Особливості діяльності пересувних віддалених робочих місць адміністраторів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18" w:name="n362"/>
      <w:bookmarkEnd w:id="218"/>
      <w:r>
        <w:rPr>
          <w:rFonts w:eastAsia="Times New Roman" w:cs="Times New Roman" w:ascii="Times New Roman" w:hAnsi="Times New Roman"/>
          <w:color w:val="333333"/>
          <w:sz w:val="28"/>
          <w:szCs w:val="28"/>
        </w:rPr>
        <w:t>55. Пересувне віддалене робоче місце адміністратора призначене для проведення виїзного надання адміністративних послуг суб’єктам звернення із застосуванням таких сервісів: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19" w:name="n426"/>
      <w:bookmarkEnd w:id="219"/>
      <w:r>
        <w:rPr>
          <w:rFonts w:eastAsia="Times New Roman" w:cs="Times New Roman" w:ascii="Times New Roman" w:hAnsi="Times New Roman"/>
          <w:color w:val="333333"/>
          <w:sz w:val="28"/>
          <w:szCs w:val="28"/>
        </w:rPr>
        <w:t>1) “Мобільний адміністратор”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Інтернету;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20" w:name="n427"/>
      <w:bookmarkEnd w:id="220"/>
      <w:r>
        <w:rPr>
          <w:rFonts w:eastAsia="Times New Roman" w:cs="Times New Roman" w:ascii="Times New Roman" w:hAnsi="Times New Roman"/>
          <w:color w:val="333333"/>
          <w:sz w:val="28"/>
          <w:szCs w:val="28"/>
        </w:rPr>
        <w:t>2) “Мобільний центр” - обслуговування проводиться адміністратором та представниками суб’єктів надання адміністративних послуг на спеціально підготовленому майданчику у транспортному засобі, обладнаному відповідним комплектом програмних та технічних засобів з вільним доступом до Інтернету.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21" w:name="n428"/>
      <w:bookmarkEnd w:id="221"/>
      <w:r>
        <w:rPr>
          <w:rFonts w:eastAsia="Times New Roman" w:cs="Times New Roman" w:ascii="Times New Roman" w:hAnsi="Times New Roman"/>
          <w:color w:val="333333"/>
          <w:sz w:val="28"/>
          <w:szCs w:val="28"/>
        </w:rPr>
        <w:t>Формування комплекту програмних та технічних засобів, що використовуються на пересувному віддаленому робочому місці адміністратора, здійснюється залежно від адміністративних послуг, які надаються на такому робочому місці.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22" w:name="n429"/>
      <w:bookmarkEnd w:id="222"/>
      <w:r>
        <w:rPr>
          <w:rFonts w:eastAsia="Times New Roman" w:cs="Times New Roman" w:ascii="Times New Roman" w:hAnsi="Times New Roman"/>
          <w:color w:val="333333"/>
          <w:sz w:val="28"/>
          <w:szCs w:val="28"/>
        </w:rPr>
        <w:t>Захист інформації на пересувному віддаленому робочому місці адміністратора здійснюється відповідно до вимог законодавства у сфері захисту інформації в інформаційно-телекомунікаційних системах.</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23" w:name="n363"/>
      <w:bookmarkEnd w:id="223"/>
      <w:r>
        <w:rPr>
          <w:rFonts w:eastAsia="Times New Roman" w:cs="Times New Roman" w:ascii="Times New Roman" w:hAnsi="Times New Roman"/>
          <w:color w:val="333333"/>
          <w:sz w:val="28"/>
          <w:szCs w:val="28"/>
        </w:rPr>
        <w:t>56.Визначає порядок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 виконавчий комітет Стрийської міської ради.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24" w:name="n430"/>
      <w:bookmarkEnd w:id="224"/>
      <w:r>
        <w:rPr>
          <w:rFonts w:eastAsia="Times New Roman" w:cs="Times New Roman" w:ascii="Times New Roman" w:hAnsi="Times New Roman"/>
          <w:color w:val="333333"/>
          <w:sz w:val="28"/>
          <w:szCs w:val="28"/>
        </w:rPr>
        <w:t>57. Сервіс “Мобільний центр”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мешканцям населених пунктів, визначених Стрийською міською радою з урахуванням територіальної доступності.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25" w:name="n431"/>
      <w:bookmarkStart w:id="226" w:name="n518"/>
      <w:bookmarkEnd w:id="225"/>
      <w:bookmarkEnd w:id="226"/>
      <w:r>
        <w:rPr>
          <w:rFonts w:eastAsia="Times New Roman" w:cs="Times New Roman" w:ascii="Times New Roman" w:hAnsi="Times New Roman"/>
          <w:color w:val="333333"/>
          <w:sz w:val="28"/>
          <w:szCs w:val="28"/>
        </w:rPr>
        <w:t>Сервіс “Мобільний адміністратор”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маломобільним групам населення.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27" w:name="n519"/>
      <w:bookmarkStart w:id="228" w:name="n432"/>
      <w:bookmarkEnd w:id="227"/>
      <w:bookmarkEnd w:id="228"/>
      <w:r>
        <w:rPr>
          <w:rFonts w:eastAsia="Times New Roman" w:cs="Times New Roman" w:ascii="Times New Roman" w:hAnsi="Times New Roman"/>
          <w:color w:val="333333"/>
          <w:sz w:val="28"/>
          <w:szCs w:val="28"/>
        </w:rPr>
        <w:t>Можуть бути визначені інші категорії суб’єктів звернення, яким можуть надаватися адміністративні послуги за допомогою сервісу “Мобільний адміністратор”.</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29" w:name="n433"/>
      <w:bookmarkEnd w:id="229"/>
      <w:r>
        <w:rPr>
          <w:rFonts w:eastAsia="Times New Roman" w:cs="Times New Roman" w:ascii="Times New Roman" w:hAnsi="Times New Roman"/>
          <w:color w:val="333333"/>
          <w:sz w:val="28"/>
          <w:szCs w:val="28"/>
        </w:rPr>
        <w:t>58. Складення (уточнення) маршруту та графіка роботи пересувного віддаленого робочого місця адміністратора здійснюється не рідше одного разу на тиждень на підставі заяв про надання відповідного сервісу. Якщо у роботі пересувного віддаленого робочого місця адміністратора беруть участь представники суб’єктів надання адміністративних послуг, маршрут та графік роботи погоджується із зазначеними суб’єктами.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0" w:name="n434"/>
      <w:bookmarkEnd w:id="230"/>
      <w:r>
        <w:rPr>
          <w:rFonts w:eastAsia="Times New Roman" w:cs="Times New Roman" w:ascii="Times New Roman" w:hAnsi="Times New Roman"/>
          <w:color w:val="333333"/>
          <w:sz w:val="28"/>
          <w:szCs w:val="28"/>
        </w:rPr>
        <w:t>Інформація про маршрут та графік роботи пересувного віддаленого робочого місця адміністратора повинна своєчасно оновлюватися та бути доступною для населення, яке обслуговується на ньому.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1" w:name="n435"/>
      <w:bookmarkEnd w:id="231"/>
      <w:r>
        <w:rPr>
          <w:rFonts w:eastAsia="Times New Roman" w:cs="Times New Roman" w:ascii="Times New Roman" w:hAnsi="Times New Roman"/>
          <w:color w:val="333333"/>
          <w:sz w:val="28"/>
          <w:szCs w:val="28"/>
        </w:rPr>
        <w:t>59. Заяви про надання відповідного сервісу подаються до центрів, їх територіальних підрозділів, віддалених робочих місць адміністраторів суб’єктами звернення, їх представниками, родичами, особами, які здійснюють догляд за ними або проживають разом з ними, а також старостами, 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2" w:name="n436"/>
      <w:bookmarkEnd w:id="232"/>
      <w:r>
        <w:rPr>
          <w:rFonts w:eastAsia="Times New Roman" w:cs="Times New Roman" w:ascii="Times New Roman" w:hAnsi="Times New Roman"/>
          <w:color w:val="333333"/>
          <w:sz w:val="28"/>
          <w:szCs w:val="28"/>
        </w:rPr>
        <w:t>1) в усній формі - у разі відвідування центру, територіального підрозділу, віддаленого робочого місця адміністратора або подання заяви за телефоном;</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3" w:name="n437"/>
      <w:bookmarkEnd w:id="233"/>
      <w:r>
        <w:rPr>
          <w:rFonts w:eastAsia="Times New Roman" w:cs="Times New Roman" w:ascii="Times New Roman" w:hAnsi="Times New Roman"/>
          <w:color w:val="333333"/>
          <w:sz w:val="28"/>
          <w:szCs w:val="28"/>
        </w:rPr>
        <w:t>2) у паперовій формі - у разі надсилання заяви поштою;</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4" w:name="n438"/>
      <w:bookmarkEnd w:id="234"/>
      <w:r>
        <w:rPr>
          <w:rFonts w:eastAsia="Times New Roman" w:cs="Times New Roman" w:ascii="Times New Roman" w:hAnsi="Times New Roman"/>
          <w:color w:val="333333"/>
          <w:sz w:val="28"/>
          <w:szCs w:val="28"/>
        </w:rPr>
        <w:t>3) в електронній формі - у разі подання заяви через відповідну інформаційно-телекомунікаційну систему.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5" w:name="n439"/>
      <w:bookmarkEnd w:id="235"/>
      <w:r>
        <w:rPr>
          <w:rFonts w:eastAsia="Times New Roman" w:cs="Times New Roman" w:ascii="Times New Roman" w:hAnsi="Times New Roman"/>
          <w:color w:val="333333"/>
          <w:sz w:val="28"/>
          <w:szCs w:val="28"/>
        </w:rPr>
        <w:t>60. Про застосування відповідного сервісу адміністратор невідкладно повідомляє особі, яка подала заяву, а за наявності обґрунтованих причин - у строк не пізніше наступного робочого дня з дня отримання заяви у спосіб, вказаний нею в заяві.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6" w:name="n440"/>
      <w:bookmarkEnd w:id="236"/>
      <w:r>
        <w:rPr>
          <w:rFonts w:eastAsia="Times New Roman" w:cs="Times New Roman" w:ascii="Times New Roman" w:hAnsi="Times New Roman"/>
          <w:color w:val="333333"/>
          <w:sz w:val="28"/>
          <w:szCs w:val="28"/>
        </w:rPr>
        <w:t>У разі потреби адміністратор звертається до суб’єкта звернення або особи, яка подала заяву, для уточнення відомостей, зазначених у ній.</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7" w:name="n441"/>
      <w:bookmarkEnd w:id="237"/>
      <w:r>
        <w:rPr>
          <w:rFonts w:eastAsia="Times New Roman" w:cs="Times New Roman" w:ascii="Times New Roman" w:hAnsi="Times New Roman"/>
          <w:color w:val="333333"/>
          <w:sz w:val="28"/>
          <w:szCs w:val="28"/>
        </w:rPr>
        <w:t>61. У повідомленні про застосування відповідного сервісу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 на пересувному віддаленому робочому місці адміністратора.</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8" w:name="n442"/>
      <w:bookmarkEnd w:id="238"/>
      <w:r>
        <w:rPr>
          <w:rFonts w:eastAsia="Times New Roman" w:cs="Times New Roman" w:ascii="Times New Roman" w:hAnsi="Times New Roman"/>
          <w:color w:val="333333"/>
          <w:sz w:val="28"/>
          <w:szCs w:val="28"/>
        </w:rPr>
        <w:t>62. У повідомленні про відмову у застосуванні відповідного сервісу обов’язково зазначаються підстави такої відмови (одна або кілька), а саме:</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39" w:name="n443"/>
      <w:bookmarkEnd w:id="239"/>
      <w:r>
        <w:rPr>
          <w:rFonts w:eastAsia="Times New Roman" w:cs="Times New Roman" w:ascii="Times New Roman" w:hAnsi="Times New Roman"/>
          <w:color w:val="333333"/>
          <w:sz w:val="28"/>
          <w:szCs w:val="28"/>
        </w:rPr>
        <w:t>1) суб’єкт звернення не належить до категорій осіб, обслуговування яких проводиться із застосуванням сервісу відповідно до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"n430"</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пункту 57</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 цього регламенту;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0" w:name="n444"/>
      <w:bookmarkEnd w:id="240"/>
      <w:r>
        <w:rPr>
          <w:rFonts w:eastAsia="Times New Roman" w:cs="Times New Roman" w:ascii="Times New Roman" w:hAnsi="Times New Roman"/>
          <w:color w:val="333333"/>
          <w:sz w:val="28"/>
          <w:szCs w:val="28"/>
        </w:rPr>
        <w:t>2) послуга не включена до переліку адміністративних послуг, що надаються на пересувному віддаленому робочому місці адміністратора;</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1" w:name="n445"/>
      <w:bookmarkEnd w:id="241"/>
      <w:r>
        <w:rPr>
          <w:rFonts w:eastAsia="Times New Roman" w:cs="Times New Roman" w:ascii="Times New Roman" w:hAnsi="Times New Roman"/>
          <w:color w:val="333333"/>
          <w:sz w:val="28"/>
          <w:szCs w:val="28"/>
        </w:rPr>
        <w:t>3) суб’єкт звернення проживає/перебуває за межами території міської, селищної, сільської територіальної громади, яка обслуговується пересувним віддаленим робочим місцем адміністратора.</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2" w:name="n446"/>
      <w:bookmarkEnd w:id="242"/>
      <w:r>
        <w:rPr>
          <w:rFonts w:eastAsia="Times New Roman" w:cs="Times New Roman" w:ascii="Times New Roman" w:hAnsi="Times New Roman"/>
          <w:color w:val="333333"/>
          <w:sz w:val="28"/>
          <w:szCs w:val="28"/>
        </w:rPr>
        <w:t>63. Візит адміністратора до суб’єктів звернення із застосуванням сервісу “Мобільний адміністратор” здійснюється відповідно до графіка роботи, визначеного виконавчим комітетом Стрийської міської ради, на службовому або громадському транспорті чи пішки залежно від складу ручного мобільного комплекту програмних та технічних засобів, маршруту руху та кількості суб’єктів звернення, які обслуговуються.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3" w:name="n447"/>
      <w:bookmarkEnd w:id="243"/>
      <w:r>
        <w:rPr>
          <w:rFonts w:eastAsia="Times New Roman" w:cs="Times New Roman" w:ascii="Times New Roman" w:hAnsi="Times New Roman"/>
          <w:color w:val="333333"/>
          <w:sz w:val="28"/>
          <w:szCs w:val="28"/>
        </w:rPr>
        <w:t>Про свій візит адміністратор попереджає суб’єкта звернення або особу, яка подала заяву про надання відповідного сервісу.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4" w:name="n448"/>
      <w:bookmarkEnd w:id="244"/>
      <w:r>
        <w:rPr>
          <w:rFonts w:eastAsia="Times New Roman" w:cs="Times New Roman" w:ascii="Times New Roman" w:hAnsi="Times New Roman"/>
          <w:color w:val="333333"/>
          <w:sz w:val="28"/>
          <w:szCs w:val="28"/>
        </w:rPr>
        <w:t>64. Візит адміністратора припиняється, а сервіс “Мобільний адміністратор” не застосовується за наявності підстав, визначених </w:t>
      </w:r>
      <w:r>
        <w:fldChar w:fldCharType="begin"/>
      </w:r>
      <w:r>
        <w:rPr>
          <w:sz w:val="28"/>
          <w:u w:val="single"/>
          <w:szCs w:val="28"/>
          <w:rFonts w:eastAsia="Times New Roman" w:cs="Times New Roman" w:ascii="Times New Roman" w:hAnsi="Times New Roman"/>
          <w:color w:val="0000FF"/>
        </w:rPr>
        <w:instrText xml:space="preserve"> HYPERLINK "https://zakon.rada.gov.ua/laws/show/588-2013-п/print" \l "n442"</w:instrText>
      </w:r>
      <w:r>
        <w:rPr>
          <w:sz w:val="28"/>
          <w:u w:val="single"/>
          <w:szCs w:val="28"/>
          <w:rFonts w:eastAsia="Times New Roman" w:cs="Times New Roman" w:ascii="Times New Roman" w:hAnsi="Times New Roman"/>
          <w:color w:val="0000FF"/>
        </w:rPr>
        <w:fldChar w:fldCharType="separate"/>
      </w:r>
      <w:r>
        <w:rPr>
          <w:rFonts w:eastAsia="Times New Roman" w:cs="Times New Roman" w:ascii="Times New Roman" w:hAnsi="Times New Roman"/>
          <w:color w:val="0000FF"/>
          <w:sz w:val="28"/>
          <w:szCs w:val="28"/>
          <w:u w:val="single"/>
        </w:rPr>
        <w:t>пунктом 62</w:t>
      </w:r>
      <w:r>
        <w:rPr>
          <w:sz w:val="28"/>
          <w:u w:val="single"/>
          <w:szCs w:val="28"/>
          <w:rFonts w:eastAsia="Times New Roman" w:cs="Times New Roman" w:ascii="Times New Roman" w:hAnsi="Times New Roman"/>
          <w:color w:val="0000FF"/>
        </w:rPr>
        <w:fldChar w:fldCharType="end"/>
      </w:r>
      <w:r>
        <w:rPr>
          <w:rFonts w:eastAsia="Times New Roman" w:cs="Times New Roman" w:ascii="Times New Roman" w:hAnsi="Times New Roman"/>
          <w:color w:val="333333"/>
          <w:sz w:val="28"/>
          <w:szCs w:val="28"/>
        </w:rPr>
        <w:t> цього регламенту.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5" w:name="n449"/>
      <w:bookmarkEnd w:id="245"/>
      <w:r>
        <w:rPr>
          <w:rFonts w:eastAsia="Times New Roman" w:cs="Times New Roman" w:ascii="Times New Roman" w:hAnsi="Times New Roman"/>
          <w:color w:val="333333"/>
          <w:sz w:val="28"/>
          <w:szCs w:val="28"/>
        </w:rPr>
        <w:t>65. Під час застосування сервісу “Мобільний центр” забороняється: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6" w:name="n450"/>
      <w:bookmarkEnd w:id="246"/>
      <w:r>
        <w:rPr>
          <w:rFonts w:eastAsia="Times New Roman" w:cs="Times New Roman" w:ascii="Times New Roman" w:hAnsi="Times New Roman"/>
          <w:color w:val="333333"/>
          <w:sz w:val="28"/>
          <w:szCs w:val="28"/>
        </w:rPr>
        <w:t>1) розміщувати у транспортному засобі, на базі якого функціонує сервіс, більшу кількість суб’єктів звернень, ніж це передбачено облаштованими робочими місцями/сидіннями в ньому;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7" w:name="n451"/>
      <w:bookmarkEnd w:id="247"/>
      <w:r>
        <w:rPr>
          <w:rFonts w:eastAsia="Times New Roman" w:cs="Times New Roman" w:ascii="Times New Roman" w:hAnsi="Times New Roman"/>
          <w:color w:val="333333"/>
          <w:sz w:val="28"/>
          <w:szCs w:val="28"/>
        </w:rPr>
        <w:t>2) використовувати транспортний засіб, на базі якого функціонує сервіс, в інших цілях ніж надання адміністративних послуг;</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8" w:name="n452"/>
      <w:bookmarkEnd w:id="248"/>
      <w:r>
        <w:rPr>
          <w:rFonts w:eastAsia="Times New Roman" w:cs="Times New Roman" w:ascii="Times New Roman" w:hAnsi="Times New Roman"/>
          <w:color w:val="333333"/>
          <w:sz w:val="28"/>
          <w:szCs w:val="28"/>
        </w:rPr>
        <w:t>3) надавати адміністративні послуги під час руху транспортного засобу, на базі якого функціонує сервіс, а також у місцях, не передбачених маршрутом.</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49" w:name="n453"/>
      <w:bookmarkEnd w:id="249"/>
      <w:r>
        <w:rPr>
          <w:rFonts w:eastAsia="Times New Roman" w:cs="Times New Roman" w:ascii="Times New Roman" w:hAnsi="Times New Roman"/>
          <w:color w:val="333333"/>
          <w:sz w:val="28"/>
          <w:szCs w:val="28"/>
        </w:rPr>
        <w:t>66. Прийняття та опрацювання вхідного пакета документів, а також повернення вихідного пакета документів на пересувних віддалених робочих місцях адміністратора здійснюється відповідно до вимог цього регламенту.</w:t>
      </w:r>
    </w:p>
    <w:p>
      <w:pPr>
        <w:pStyle w:val="Normal"/>
        <w:spacing w:lineRule="auto" w:line="240" w:before="0" w:after="0"/>
        <w:rPr>
          <w:rFonts w:ascii="Times New Roman" w:hAnsi="Times New Roman" w:eastAsia="Times New Roman" w:cs="Times New Roman"/>
          <w:sz w:val="28"/>
          <w:szCs w:val="28"/>
        </w:rPr>
      </w:pPr>
      <w:bookmarkStart w:id="250" w:name="n365"/>
      <w:bookmarkEnd w:id="250"/>
      <w:r>
        <w:rPr/>
        <mc:AlternateContent>
          <mc:Choice Requires="wps">
            <w:drawing>
              <wp:inline distT="0" distB="0" distL="0" distR="0">
                <wp:extent cx="6120765" cy="635"/>
                <wp:effectExtent l="0" t="0" r="0" b="0"/>
                <wp:docPr id="1" name="Фігура1"/>
                <a:graphic xmlns:a="http://schemas.openxmlformats.org/drawingml/2006/main">
                  <a:graphicData uri="http://schemas.microsoft.com/office/word/2010/wordprocessingShape">
                    <wps:wsp>
                      <wps:cNvSpPr/>
                      <wps:spPr>
                        <a:xfrm>
                          <a:off x="0" y="0"/>
                          <a:ext cx="6120720" cy="720"/>
                        </a:xfrm>
                        <a:prstGeom prst="rect">
                          <a:avLst/>
                        </a:prstGeom>
                        <a:solidFill>
                          <a:srgbClr val="00000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ігура1" path="m0,0l-2147483645,0l-2147483645,-2147483646l0,-2147483646xe" fillcolor="black" stroked="f" o:allowincell="f" style="position:absolute;margin-left:0pt;margin-top:-0.1pt;width:481.9pt;height:0pt;mso-wrap-style:none;v-text-anchor:middle;mso-position-vertical:top">
                <v:fill o:detectmouseclick="t" type="solid" color2="white"/>
                <v:stroke color="#3465a4" joinstyle="round" endcap="flat"/>
                <w10:wrap type="square"/>
              </v:rect>
            </w:pict>
          </mc:Fallback>
        </mc:AlternateContent>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i/>
          <w:iCs/>
          <w:color w:val="333333"/>
          <w:sz w:val="28"/>
          <w:szCs w:val="28"/>
        </w:rPr>
        <w:tab/>
      </w:r>
      <w:r>
        <w:rPr>
          <w:rFonts w:eastAsia="Times New Roman" w:cs="Times New Roman" w:ascii="Times New Roman" w:hAnsi="Times New Roman"/>
          <w:b/>
          <w:bCs/>
          <w:i w:val="false"/>
          <w:iCs w:val="false"/>
          <w:color w:val="333333"/>
          <w:sz w:val="30"/>
          <w:szCs w:val="30"/>
          <w:u w:val="none"/>
        </w:rPr>
        <w:t>Секретар міської ради</w:t>
        <w:tab/>
        <w:tab/>
        <w:tab/>
        <w:tab/>
        <w:tab/>
        <w:t>Мар’ян Берник</w:t>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bookmarkStart w:id="251" w:name="n506"/>
      <w:bookmarkEnd w:id="251"/>
      <w:r>
        <w:rPr>
          <w:rFonts w:eastAsia="Times New Roman" w:cs="Times New Roman" w:ascii="Times New Roman" w:hAnsi="Times New Roman"/>
          <w:i/>
          <w:iCs/>
          <w:color w:val="333333"/>
          <w:sz w:val="28"/>
          <w:szCs w:val="28"/>
        </w:rPr>
        <w:br/>
      </w:r>
    </w:p>
    <w:tbl>
      <w:tblPr>
        <w:tblStyle w:val="3"/>
        <w:tblW w:w="5000" w:type="pct"/>
        <w:jc w:val="left"/>
        <w:tblInd w:w="0" w:type="dxa"/>
        <w:tblLayout w:type="fixed"/>
        <w:tblCellMar>
          <w:top w:w="0" w:type="dxa"/>
          <w:left w:w="2" w:type="dxa"/>
          <w:bottom w:w="0" w:type="dxa"/>
          <w:right w:w="2" w:type="dxa"/>
        </w:tblCellMar>
      </w:tblPr>
      <w:tblGrid>
        <w:gridCol w:w="4483"/>
        <w:gridCol w:w="5155"/>
      </w:tblGrid>
      <w:tr>
        <w:trPr/>
        <w:tc>
          <w:tcPr>
            <w:tcW w:w="448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252" w:name="n455"/>
            <w:bookmarkStart w:id="253" w:name="n455"/>
            <w:bookmarkEnd w:id="253"/>
          </w:p>
        </w:tc>
        <w:tc>
          <w:tcPr>
            <w:tcW w:w="515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Додаток 1</w:t>
              <w:br/>
              <w:t>до  регламенту</w:t>
            </w:r>
          </w:p>
        </w:tc>
      </w:tr>
    </w:tbl>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254" w:name="n456"/>
      <w:bookmarkEnd w:id="254"/>
      <w:r>
        <w:rPr>
          <w:rFonts w:eastAsia="Times New Roman" w:cs="Times New Roman" w:ascii="Times New Roman" w:hAnsi="Times New Roman"/>
          <w:b/>
          <w:bCs/>
          <w:color w:val="333333"/>
          <w:sz w:val="28"/>
          <w:szCs w:val="28"/>
        </w:rPr>
        <w:t>ЗРАЗОК ТА ОПИС</w:t>
      </w:r>
      <w:r>
        <w:rPr>
          <w:rFonts w:eastAsia="Times New Roman" w:cs="Times New Roman" w:ascii="Times New Roman" w:hAnsi="Times New Roman"/>
          <w:color w:val="333333"/>
          <w:sz w:val="28"/>
          <w:szCs w:val="28"/>
        </w:rPr>
        <w:br/>
      </w:r>
      <w:r>
        <w:rPr>
          <w:rFonts w:eastAsia="Times New Roman" w:cs="Times New Roman" w:ascii="Times New Roman" w:hAnsi="Times New Roman"/>
          <w:b/>
          <w:bCs/>
          <w:color w:val="333333"/>
          <w:sz w:val="28"/>
          <w:szCs w:val="28"/>
        </w:rPr>
        <w:t>позначення “Центр Дії”</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5774055" cy="1405890"/>
            <wp:effectExtent l="0" t="0" r="0" b="0"/>
            <wp:wrapSquare wrapText="largest"/>
            <wp:docPr id="2" name="Зображенн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8" descr=""/>
                    <pic:cNvPicPr>
                      <a:picLocks noChangeAspect="1" noChangeArrowheads="1"/>
                    </pic:cNvPicPr>
                  </pic:nvPicPr>
                  <pic:blipFill>
                    <a:blip r:embed="rId6"/>
                    <a:stretch>
                      <a:fillRect/>
                    </a:stretch>
                  </pic:blipFill>
                  <pic:spPr bwMode="auto">
                    <a:xfrm>
                      <a:off x="0" y="0"/>
                      <a:ext cx="5774055" cy="1405890"/>
                    </a:xfrm>
                    <a:prstGeom prst="rect">
                      <a:avLst/>
                    </a:prstGeom>
                  </pic:spPr>
                </pic:pic>
              </a:graphicData>
            </a:graphic>
          </wp:anchor>
        </w:drawing>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55" w:name="n457"/>
      <w:bookmarkStart w:id="256" w:name="n458"/>
      <w:bookmarkEnd w:id="255"/>
      <w:bookmarkEnd w:id="256"/>
      <w:r>
        <w:rPr>
          <w:rFonts w:eastAsia="Times New Roman" w:cs="Times New Roman" w:ascii="Times New Roman" w:hAnsi="Times New Roman"/>
          <w:color w:val="333333"/>
          <w:sz w:val="28"/>
          <w:szCs w:val="28"/>
        </w:rPr>
        <w:t>1. Позначення “Центр Дії” має форму прямокутника та складається з логотипу “Дія” та дескриптора “Центр”.</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57" w:name="n459"/>
      <w:bookmarkEnd w:id="257"/>
      <w:r>
        <w:rPr>
          <w:rFonts w:eastAsia="Times New Roman" w:cs="Times New Roman" w:ascii="Times New Roman" w:hAnsi="Times New Roman"/>
          <w:color w:val="333333"/>
          <w:sz w:val="28"/>
          <w:szCs w:val="28"/>
        </w:rPr>
        <w:t>2. Логотип “Дія” складається із шрифтового напису “Дія”, розміщеного в центрі квадрата з округлими згладженими кутами. Для логотипа використовується шрифтова гарнітура “e-Ukraine” та суцільна заливка чорного кольору, що має таке значення:</w:t>
      </w:r>
    </w:p>
    <w:tbl>
      <w:tblPr>
        <w:tblStyle w:val="3"/>
        <w:tblW w:w="5000" w:type="pct"/>
        <w:jc w:val="left"/>
        <w:tblInd w:w="0" w:type="dxa"/>
        <w:tblLayout w:type="fixed"/>
        <w:tblCellMar>
          <w:top w:w="10" w:type="dxa"/>
          <w:left w:w="10" w:type="dxa"/>
          <w:bottom w:w="10" w:type="dxa"/>
          <w:right w:w="10" w:type="dxa"/>
        </w:tblCellMar>
      </w:tblPr>
      <w:tblGrid>
        <w:gridCol w:w="673"/>
        <w:gridCol w:w="8965"/>
      </w:tblGrid>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258" w:name="n460"/>
            <w:bookmarkStart w:id="259" w:name="n460"/>
            <w:bookmarkEnd w:id="259"/>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#000000; CMYK - 0 %, 0 %, 0 %, 100 %.</w:t>
            </w:r>
          </w:p>
        </w:tc>
      </w:tr>
    </w:tbl>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60" w:name="n461"/>
      <w:bookmarkEnd w:id="260"/>
      <w:r>
        <w:rPr>
          <w:rFonts w:eastAsia="Times New Roman" w:cs="Times New Roman" w:ascii="Times New Roman" w:hAnsi="Times New Roman"/>
          <w:color w:val="333333"/>
          <w:sz w:val="28"/>
          <w:szCs w:val="28"/>
        </w:rPr>
        <w:t>3. Логотип “Дія” не може бути меншим від дескриптора “Центр”, розміщеного поряд. Відстань між ними повинна бути рівною ширині символу “і”.</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61" w:name="n462"/>
      <w:bookmarkEnd w:id="261"/>
      <w:r>
        <w:rPr>
          <w:rFonts w:eastAsia="Times New Roman" w:cs="Times New Roman" w:ascii="Times New Roman" w:hAnsi="Times New Roman"/>
          <w:color w:val="333333"/>
          <w:sz w:val="28"/>
          <w:szCs w:val="28"/>
        </w:rPr>
        <w:t>4. Дескриптор “Центр” виконується літерами чорного кольору шрифтовою гарнітурою “e-Ukraine”.</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262" w:name="n507"/>
      <w:bookmarkStart w:id="263" w:name="n507"/>
      <w:bookmarkEnd w:id="263"/>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tbl>
      <w:tblPr>
        <w:tblStyle w:val="3"/>
        <w:tblW w:w="5000" w:type="pct"/>
        <w:jc w:val="left"/>
        <w:tblInd w:w="0" w:type="dxa"/>
        <w:tblLayout w:type="fixed"/>
        <w:tblCellMar>
          <w:top w:w="0" w:type="dxa"/>
          <w:left w:w="2" w:type="dxa"/>
          <w:bottom w:w="0" w:type="dxa"/>
          <w:right w:w="2" w:type="dxa"/>
        </w:tblCellMar>
      </w:tblPr>
      <w:tblGrid>
        <w:gridCol w:w="4483"/>
        <w:gridCol w:w="5155"/>
      </w:tblGrid>
      <w:tr>
        <w:trPr/>
        <w:tc>
          <w:tcPr>
            <w:tcW w:w="448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264" w:name="n463"/>
            <w:bookmarkStart w:id="265" w:name="n463"/>
            <w:bookmarkEnd w:id="265"/>
          </w:p>
        </w:tc>
        <w:tc>
          <w:tcPr>
            <w:tcW w:w="515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Додаток 2</w:t>
              <w:br/>
              <w:t>до  регламенту</w:t>
            </w:r>
          </w:p>
        </w:tc>
      </w:tr>
    </w:tbl>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266" w:name="n464"/>
      <w:bookmarkEnd w:id="266"/>
      <w:r>
        <w:rPr>
          <w:rFonts w:eastAsia="Times New Roman" w:cs="Times New Roman" w:ascii="Times New Roman" w:hAnsi="Times New Roman"/>
          <w:b/>
          <w:bCs/>
          <w:color w:val="333333"/>
          <w:sz w:val="28"/>
          <w:szCs w:val="28"/>
        </w:rPr>
        <w:t>ЗРАЗКИ ТА ОПИС</w:t>
      </w:r>
      <w:r>
        <w:rPr>
          <w:rFonts w:eastAsia="Times New Roman" w:cs="Times New Roman" w:ascii="Times New Roman" w:hAnsi="Times New Roman"/>
          <w:color w:val="333333"/>
          <w:sz w:val="28"/>
          <w:szCs w:val="28"/>
        </w:rPr>
        <w:br/>
      </w:r>
      <w:r>
        <w:rPr>
          <w:rFonts w:eastAsia="Times New Roman" w:cs="Times New Roman" w:ascii="Times New Roman" w:hAnsi="Times New Roman"/>
          <w:b/>
          <w:bCs/>
          <w:color w:val="333333"/>
          <w:sz w:val="28"/>
          <w:szCs w:val="28"/>
        </w:rPr>
        <w:t>навігаційних табличок</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tbl>
      <w:tblPr>
        <w:tblW w:w="5000" w:type="pct"/>
        <w:jc w:val="left"/>
        <w:tblInd w:w="28" w:type="dxa"/>
        <w:tblLayout w:type="fixed"/>
        <w:tblCellMar>
          <w:top w:w="28" w:type="dxa"/>
          <w:left w:w="28" w:type="dxa"/>
          <w:bottom w:w="28" w:type="dxa"/>
          <w:right w:w="28" w:type="dxa"/>
        </w:tblCellMar>
      </w:tblPr>
      <w:tblGrid>
        <w:gridCol w:w="4803"/>
        <w:gridCol w:w="4835"/>
      </w:tblGrid>
      <w:tr>
        <w:trPr/>
        <w:tc>
          <w:tcPr>
            <w:tcW w:w="4803" w:type="dxa"/>
            <w:tcBorders/>
          </w:tcPr>
          <w:p>
            <w:pPr>
              <w:pStyle w:val="Style18"/>
              <w:widowControl w:val="false"/>
              <w:spacing w:before="0" w:after="200"/>
              <w:jc w:val="center"/>
              <w:rPr/>
            </w:pPr>
            <w:r>
              <w:rPr/>
              <w:drawing>
                <wp:inline distT="0" distB="0" distL="0" distR="0">
                  <wp:extent cx="1962150" cy="1228725"/>
                  <wp:effectExtent l="0" t="0" r="0" b="0"/>
                  <wp:docPr id="3" name="Зображення1" desc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1" descr="">
                            <a:hlinkClick r:id="rId8"/>
                          </pic:cNvPr>
                          <pic:cNvPicPr>
                            <a:picLocks noChangeAspect="1" noChangeArrowheads="1"/>
                          </pic:cNvPicPr>
                        </pic:nvPicPr>
                        <pic:blipFill>
                          <a:blip r:embed="rId7"/>
                          <a:stretch>
                            <a:fillRect/>
                          </a:stretch>
                        </pic:blipFill>
                        <pic:spPr bwMode="auto">
                          <a:xfrm>
                            <a:off x="0" y="0"/>
                            <a:ext cx="1962150" cy="1228725"/>
                          </a:xfrm>
                          <a:prstGeom prst="rect">
                            <a:avLst/>
                          </a:prstGeom>
                          <a:ln w="9525">
                            <a:solidFill>
                              <a:srgbClr val="0000FF"/>
                            </a:solidFill>
                          </a:ln>
                        </pic:spPr>
                      </pic:pic>
                    </a:graphicData>
                  </a:graphic>
                </wp:inline>
              </w:drawing>
            </w:r>
            <w:r>
              <w:rPr/>
              <w:t xml:space="preserve"> </w:t>
            </w:r>
            <w:r>
              <w:rPr/>
              <w:br/>
              <w:t>Зразок 1</w:t>
            </w:r>
          </w:p>
        </w:tc>
        <w:tc>
          <w:tcPr>
            <w:tcW w:w="4835" w:type="dxa"/>
            <w:tcBorders/>
          </w:tcPr>
          <w:p>
            <w:pPr>
              <w:pStyle w:val="Style18"/>
              <w:widowControl w:val="false"/>
              <w:spacing w:before="0" w:after="200"/>
              <w:jc w:val="center"/>
              <w:rPr/>
            </w:pPr>
            <w:r>
              <w:rPr/>
              <w:drawing>
                <wp:inline distT="0" distB="0" distL="0" distR="0">
                  <wp:extent cx="1962150" cy="1228725"/>
                  <wp:effectExtent l="0" t="0" r="0" b="0"/>
                  <wp:docPr id="4" name="Зображення2" desc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2" descr="">
                            <a:hlinkClick r:id="rId10"/>
                          </pic:cNvPr>
                          <pic:cNvPicPr>
                            <a:picLocks noChangeAspect="1" noChangeArrowheads="1"/>
                          </pic:cNvPicPr>
                        </pic:nvPicPr>
                        <pic:blipFill>
                          <a:blip r:embed="rId9"/>
                          <a:stretch>
                            <a:fillRect/>
                          </a:stretch>
                        </pic:blipFill>
                        <pic:spPr bwMode="auto">
                          <a:xfrm>
                            <a:off x="0" y="0"/>
                            <a:ext cx="1962150" cy="1228725"/>
                          </a:xfrm>
                          <a:prstGeom prst="rect">
                            <a:avLst/>
                          </a:prstGeom>
                          <a:ln w="9525">
                            <a:solidFill>
                              <a:srgbClr val="0000FF"/>
                            </a:solidFill>
                          </a:ln>
                        </pic:spPr>
                      </pic:pic>
                    </a:graphicData>
                  </a:graphic>
                </wp:inline>
              </w:drawing>
            </w:r>
            <w:r>
              <w:rPr/>
              <w:t xml:space="preserve"> </w:t>
            </w:r>
            <w:r>
              <w:rPr/>
              <w:br/>
              <w:t>Зразок 2</w:t>
            </w:r>
          </w:p>
        </w:tc>
      </w:tr>
      <w:tr>
        <w:trPr/>
        <w:tc>
          <w:tcPr>
            <w:tcW w:w="4803" w:type="dxa"/>
            <w:tcBorders/>
          </w:tcPr>
          <w:p>
            <w:pPr>
              <w:pStyle w:val="Style18"/>
              <w:widowControl w:val="false"/>
              <w:suppressLineNumbers/>
              <w:spacing w:before="0" w:after="200"/>
              <w:rPr/>
            </w:pPr>
            <w:r>
              <w:rPr/>
              <w:drawing>
                <wp:inline distT="0" distB="0" distL="0" distR="0">
                  <wp:extent cx="2924175" cy="1228725"/>
                  <wp:effectExtent l="0" t="0" r="0" b="0"/>
                  <wp:docPr id="5" name="Зображення3" desc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3" descr="">
                            <a:hlinkClick r:id="rId12"/>
                          </pic:cNvPr>
                          <pic:cNvPicPr>
                            <a:picLocks noChangeAspect="1" noChangeArrowheads="1"/>
                          </pic:cNvPicPr>
                        </pic:nvPicPr>
                        <pic:blipFill>
                          <a:blip r:embed="rId11"/>
                          <a:stretch>
                            <a:fillRect/>
                          </a:stretch>
                        </pic:blipFill>
                        <pic:spPr bwMode="auto">
                          <a:xfrm>
                            <a:off x="0" y="0"/>
                            <a:ext cx="2924175" cy="1228725"/>
                          </a:xfrm>
                          <a:prstGeom prst="rect">
                            <a:avLst/>
                          </a:prstGeom>
                          <a:ln w="9525">
                            <a:solidFill>
                              <a:srgbClr val="0000FF"/>
                            </a:solidFill>
                          </a:ln>
                        </pic:spPr>
                      </pic:pic>
                    </a:graphicData>
                  </a:graphic>
                </wp:inline>
              </w:drawing>
            </w:r>
            <w:r>
              <w:rPr/>
              <w:t xml:space="preserve"> </w:t>
            </w:r>
            <w:r>
              <w:rPr/>
              <w:br/>
              <w:t>Зразок 3</w:t>
            </w:r>
          </w:p>
        </w:tc>
        <w:tc>
          <w:tcPr>
            <w:tcW w:w="4835" w:type="dxa"/>
            <w:tcBorders/>
          </w:tcPr>
          <w:p>
            <w:pPr>
              <w:pStyle w:val="Style18"/>
              <w:widowControl w:val="false"/>
              <w:spacing w:before="0" w:after="200"/>
              <w:jc w:val="center"/>
              <w:rPr/>
            </w:pPr>
            <w:r>
              <w:rPr/>
              <w:drawing>
                <wp:inline distT="0" distB="0" distL="0" distR="0">
                  <wp:extent cx="2924175" cy="1228725"/>
                  <wp:effectExtent l="0" t="0" r="0" b="0"/>
                  <wp:docPr id="6" name="Зображення4" desc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4" descr="">
                            <a:hlinkClick r:id="rId14"/>
                          </pic:cNvPr>
                          <pic:cNvPicPr>
                            <a:picLocks noChangeAspect="1" noChangeArrowheads="1"/>
                          </pic:cNvPicPr>
                        </pic:nvPicPr>
                        <pic:blipFill>
                          <a:blip r:embed="rId13"/>
                          <a:stretch>
                            <a:fillRect/>
                          </a:stretch>
                        </pic:blipFill>
                        <pic:spPr bwMode="auto">
                          <a:xfrm>
                            <a:off x="0" y="0"/>
                            <a:ext cx="2924175" cy="1228725"/>
                          </a:xfrm>
                          <a:prstGeom prst="rect">
                            <a:avLst/>
                          </a:prstGeom>
                          <a:ln w="9525">
                            <a:solidFill>
                              <a:srgbClr val="0000FF"/>
                            </a:solidFill>
                          </a:ln>
                        </pic:spPr>
                      </pic:pic>
                    </a:graphicData>
                  </a:graphic>
                </wp:inline>
              </w:drawing>
            </w:r>
            <w:r>
              <w:rPr/>
              <w:t xml:space="preserve"> </w:t>
            </w:r>
            <w:r>
              <w:rPr/>
              <w:br/>
              <w:t>Зразок 4</w:t>
            </w:r>
          </w:p>
        </w:tc>
      </w:tr>
      <w:tr>
        <w:trPr/>
        <w:tc>
          <w:tcPr>
            <w:tcW w:w="4803" w:type="dxa"/>
            <w:tcBorders/>
          </w:tcPr>
          <w:p>
            <w:pPr>
              <w:pStyle w:val="Style18"/>
              <w:widowControl w:val="false"/>
              <w:spacing w:before="0" w:after="200"/>
              <w:jc w:val="center"/>
              <w:rPr/>
            </w:pPr>
            <w:r>
              <w:rPr/>
              <w:drawing>
                <wp:inline distT="0" distB="0" distL="0" distR="0">
                  <wp:extent cx="1962150" cy="1228725"/>
                  <wp:effectExtent l="0" t="0" r="0" b="0"/>
                  <wp:docPr id="7" name="Зображення5" desc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5" descr="">
                            <a:hlinkClick r:id="rId16"/>
                          </pic:cNvPr>
                          <pic:cNvPicPr>
                            <a:picLocks noChangeAspect="1" noChangeArrowheads="1"/>
                          </pic:cNvPicPr>
                        </pic:nvPicPr>
                        <pic:blipFill>
                          <a:blip r:embed="rId15"/>
                          <a:stretch>
                            <a:fillRect/>
                          </a:stretch>
                        </pic:blipFill>
                        <pic:spPr bwMode="auto">
                          <a:xfrm>
                            <a:off x="0" y="0"/>
                            <a:ext cx="1962150" cy="1228725"/>
                          </a:xfrm>
                          <a:prstGeom prst="rect">
                            <a:avLst/>
                          </a:prstGeom>
                          <a:ln w="9525">
                            <a:solidFill>
                              <a:srgbClr val="0000FF"/>
                            </a:solidFill>
                          </a:ln>
                        </pic:spPr>
                      </pic:pic>
                    </a:graphicData>
                  </a:graphic>
                </wp:inline>
              </w:drawing>
            </w:r>
            <w:r>
              <w:rPr/>
              <w:t xml:space="preserve"> </w:t>
            </w:r>
            <w:r>
              <w:rPr/>
              <w:br/>
              <w:t>Зразок 5</w:t>
            </w:r>
          </w:p>
        </w:tc>
        <w:tc>
          <w:tcPr>
            <w:tcW w:w="4835" w:type="dxa"/>
            <w:tcBorders/>
          </w:tcPr>
          <w:p>
            <w:pPr>
              <w:pStyle w:val="Style18"/>
              <w:widowControl w:val="false"/>
              <w:spacing w:before="0" w:after="200"/>
              <w:jc w:val="center"/>
              <w:rPr/>
            </w:pPr>
            <w:r>
              <w:rPr/>
              <w:drawing>
                <wp:inline distT="0" distB="0" distL="0" distR="0">
                  <wp:extent cx="1981200" cy="1228725"/>
                  <wp:effectExtent l="0" t="0" r="0" b="0"/>
                  <wp:docPr id="8" name="Зображення6" desc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6" descr="">
                            <a:hlinkClick r:id="rId18"/>
                          </pic:cNvPr>
                          <pic:cNvPicPr>
                            <a:picLocks noChangeAspect="1" noChangeArrowheads="1"/>
                          </pic:cNvPicPr>
                        </pic:nvPicPr>
                        <pic:blipFill>
                          <a:blip r:embed="rId17"/>
                          <a:stretch>
                            <a:fillRect/>
                          </a:stretch>
                        </pic:blipFill>
                        <pic:spPr bwMode="auto">
                          <a:xfrm>
                            <a:off x="0" y="0"/>
                            <a:ext cx="1981200" cy="1228725"/>
                          </a:xfrm>
                          <a:prstGeom prst="rect">
                            <a:avLst/>
                          </a:prstGeom>
                          <a:ln w="9525">
                            <a:solidFill>
                              <a:srgbClr val="0000FF"/>
                            </a:solidFill>
                          </a:ln>
                        </pic:spPr>
                      </pic:pic>
                    </a:graphicData>
                  </a:graphic>
                </wp:inline>
              </w:drawing>
            </w:r>
            <w:r>
              <w:rPr/>
              <w:t xml:space="preserve"> </w:t>
            </w:r>
            <w:r>
              <w:rPr/>
              <w:br/>
              <w:t>Зразок 6</w:t>
            </w:r>
          </w:p>
        </w:tc>
      </w:tr>
      <w:tr>
        <w:trPr/>
        <w:tc>
          <w:tcPr>
            <w:tcW w:w="4803" w:type="dxa"/>
            <w:tcBorders/>
          </w:tcPr>
          <w:p>
            <w:pPr>
              <w:pStyle w:val="Style18"/>
              <w:widowControl w:val="false"/>
              <w:spacing w:before="0" w:after="200"/>
              <w:jc w:val="center"/>
              <w:rPr/>
            </w:pPr>
            <w:r>
              <w:rPr/>
              <w:drawing>
                <wp:inline distT="0" distB="0" distL="0" distR="0">
                  <wp:extent cx="1952625" cy="1228725"/>
                  <wp:effectExtent l="0" t="0" r="0" b="0"/>
                  <wp:docPr id="9" name="Зображення7" desc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7" descr="">
                            <a:hlinkClick r:id="rId20"/>
                          </pic:cNvPr>
                          <pic:cNvPicPr>
                            <a:picLocks noChangeAspect="1" noChangeArrowheads="1"/>
                          </pic:cNvPicPr>
                        </pic:nvPicPr>
                        <pic:blipFill>
                          <a:blip r:embed="rId19"/>
                          <a:stretch>
                            <a:fillRect/>
                          </a:stretch>
                        </pic:blipFill>
                        <pic:spPr bwMode="auto">
                          <a:xfrm>
                            <a:off x="0" y="0"/>
                            <a:ext cx="1952625" cy="1228725"/>
                          </a:xfrm>
                          <a:prstGeom prst="rect">
                            <a:avLst/>
                          </a:prstGeom>
                          <a:ln w="9525">
                            <a:solidFill>
                              <a:srgbClr val="0000FF"/>
                            </a:solidFill>
                          </a:ln>
                        </pic:spPr>
                      </pic:pic>
                    </a:graphicData>
                  </a:graphic>
                </wp:inline>
              </w:drawing>
            </w:r>
            <w:r>
              <w:rPr/>
              <w:t xml:space="preserve"> </w:t>
            </w:r>
            <w:r>
              <w:rPr/>
              <w:br/>
              <w:t>Зразок 7</w:t>
            </w:r>
          </w:p>
        </w:tc>
        <w:tc>
          <w:tcPr>
            <w:tcW w:w="4835" w:type="dxa"/>
            <w:tcBorders/>
          </w:tcPr>
          <w:p>
            <w:pPr>
              <w:pStyle w:val="Style18"/>
              <w:widowControl w:val="false"/>
              <w:spacing w:before="0" w:after="200"/>
              <w:jc w:val="center"/>
              <w:rPr/>
            </w:pPr>
            <w:r>
              <w:rPr/>
            </w:r>
          </w:p>
        </w:tc>
      </w:tr>
    </w:tbl>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67" w:name="n466"/>
      <w:bookmarkEnd w:id="267"/>
      <w:r>
        <w:rPr>
          <w:rFonts w:eastAsia="Times New Roman" w:cs="Times New Roman" w:ascii="Times New Roman" w:hAnsi="Times New Roman"/>
          <w:color w:val="333333"/>
          <w:sz w:val="28"/>
          <w:szCs w:val="28"/>
        </w:rPr>
        <w:t>1. Навігаційні таблички, що розміщуються в центрах надання адміністративних послуг, мають форму прямокутника розміром 250 х 400 міліметрів (зразки 1, 2, 5-7).</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68" w:name="n467"/>
      <w:bookmarkEnd w:id="268"/>
      <w:r>
        <w:rPr>
          <w:rFonts w:eastAsia="Times New Roman" w:cs="Times New Roman" w:ascii="Times New Roman" w:hAnsi="Times New Roman"/>
          <w:color w:val="333333"/>
          <w:sz w:val="28"/>
          <w:szCs w:val="28"/>
        </w:rPr>
        <w:t>Навігаційні таблички, що містять напис та вказівник руху, мають форму прямокутника розміром 250 х 600 міліметрів (зразки 3 і 4).</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69" w:name="n468"/>
      <w:bookmarkEnd w:id="269"/>
      <w:r>
        <w:rPr>
          <w:rFonts w:eastAsia="Times New Roman" w:cs="Times New Roman" w:ascii="Times New Roman" w:hAnsi="Times New Roman"/>
          <w:color w:val="333333"/>
          <w:sz w:val="28"/>
          <w:szCs w:val="28"/>
        </w:rPr>
        <w:t>2. Написи виконуються літерами чорного кольору, шрифтовою гарнітурою “e-Ukraine”, висотою не менше 1/3 висоти таблички.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0" w:name="n469"/>
      <w:bookmarkEnd w:id="270"/>
      <w:r>
        <w:rPr>
          <w:rFonts w:eastAsia="Times New Roman" w:cs="Times New Roman" w:ascii="Times New Roman" w:hAnsi="Times New Roman"/>
          <w:color w:val="333333"/>
          <w:sz w:val="28"/>
          <w:szCs w:val="28"/>
        </w:rPr>
        <w:t>3. У центрі навігаційних табличок (зразки 1-4) розміщуються написи “Прийом документів”, “Видача документів”, “Вхід”, “Вихід”, “Електронна черга”, “Простір для очікування та відпочинку”, “Ігровий простір”, “Місце для самообслуговування”, “Адміністратор”, “Державний реєстратор”, “Робоче місце № __”, “Службове приміщення”, “1 поверх”, “Охорона”, “Ліфт”, “Сходи”, “Конференц-зал”, “Вхід заборонено”, “Кнопка виклику адміністратора”, “Ведеться відеоспостереження”, “Ведеться аудіоспостереження”, “Wi-Fi”, “Архів”, “Комунальні послуги”, “Дія.Бізнес”, “Безоплатна правова допомога”, “Банківські послуги”, “Прийом громадян головою територіальної громади”, “Пошта”, “Кав’ярня”, “Коворкінг-зона”, “Страхова компанія”, “Нотаріус”.</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1" w:name="n470"/>
      <w:bookmarkEnd w:id="271"/>
      <w:r>
        <w:rPr>
          <w:rFonts w:eastAsia="Times New Roman" w:cs="Times New Roman" w:ascii="Times New Roman" w:hAnsi="Times New Roman"/>
          <w:color w:val="333333"/>
          <w:sz w:val="28"/>
          <w:szCs w:val="28"/>
        </w:rPr>
        <w:t>Навігаційні таблички, що позначують розміщення інформаційного підрозділу та вбиральні, виготовляються згідно із зразками 5 і 6.</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2" w:name="n471"/>
      <w:bookmarkEnd w:id="272"/>
      <w:r>
        <w:rPr>
          <w:rFonts w:eastAsia="Times New Roman" w:cs="Times New Roman" w:ascii="Times New Roman" w:hAnsi="Times New Roman"/>
          <w:color w:val="333333"/>
          <w:sz w:val="28"/>
          <w:szCs w:val="28"/>
        </w:rPr>
        <w:t>4. Поряд з навігаційною табличкою “Місце для самообслуговування” може розміщуватися табличка згідно із зразком 7, яка має форму прямокутника розміром 250 х 400 міліметрів.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3" w:name="n472"/>
      <w:bookmarkEnd w:id="273"/>
      <w:r>
        <w:rPr>
          <w:rFonts w:eastAsia="Times New Roman" w:cs="Times New Roman" w:ascii="Times New Roman" w:hAnsi="Times New Roman"/>
          <w:color w:val="333333"/>
          <w:sz w:val="28"/>
          <w:szCs w:val="28"/>
        </w:rPr>
        <w:t>Напис виконується літерами чорного кольору, шрифтовою гарнітурою “e-Ukraine”.</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4" w:name="n473"/>
      <w:bookmarkEnd w:id="274"/>
      <w:r>
        <w:rPr>
          <w:rFonts w:eastAsia="Times New Roman" w:cs="Times New Roman" w:ascii="Times New Roman" w:hAnsi="Times New Roman"/>
          <w:color w:val="333333"/>
          <w:sz w:val="28"/>
          <w:szCs w:val="28"/>
        </w:rPr>
        <w:t>Висота верхнього ряду літер напису становить не менше 1/3 висоти таблички.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5" w:name="n474"/>
      <w:bookmarkEnd w:id="275"/>
      <w:r>
        <w:rPr>
          <w:rFonts w:eastAsia="Times New Roman" w:cs="Times New Roman" w:ascii="Times New Roman" w:hAnsi="Times New Roman"/>
          <w:color w:val="333333"/>
          <w:sz w:val="28"/>
          <w:szCs w:val="28"/>
        </w:rPr>
        <w:t>Висота нижнього ряду літер напису становить не менше 1/4 висоти таблички.</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6" w:name="n475"/>
      <w:bookmarkEnd w:id="276"/>
      <w:r>
        <w:rPr>
          <w:rFonts w:eastAsia="Times New Roman" w:cs="Times New Roman" w:ascii="Times New Roman" w:hAnsi="Times New Roman"/>
          <w:color w:val="333333"/>
          <w:sz w:val="28"/>
          <w:szCs w:val="28"/>
        </w:rPr>
        <w:t>У центрі таблички з вирівнюванням за лівим полем відповідно до зразка 7 розміщується напис:</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7" w:name="n476"/>
      <w:bookmarkEnd w:id="277"/>
      <w:r>
        <w:rPr>
          <w:rFonts w:eastAsia="Times New Roman" w:cs="Times New Roman" w:ascii="Times New Roman" w:hAnsi="Times New Roman"/>
          <w:color w:val="333333"/>
          <w:sz w:val="28"/>
          <w:szCs w:val="28"/>
        </w:rPr>
        <w:t>“</w:t>
      </w:r>
      <w:r>
        <w:rPr>
          <w:rFonts w:eastAsia="Times New Roman" w:cs="Times New Roman" w:ascii="Times New Roman" w:hAnsi="Times New Roman"/>
          <w:color w:val="333333"/>
          <w:sz w:val="28"/>
          <w:szCs w:val="28"/>
        </w:rPr>
        <w:t>Скористайтеся порталом Дія</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8" w:name="n477"/>
      <w:bookmarkEnd w:id="278"/>
      <w:r>
        <w:rPr>
          <w:rFonts w:eastAsia="Times New Roman" w:cs="Times New Roman" w:ascii="Times New Roman" w:hAnsi="Times New Roman"/>
          <w:color w:val="333333"/>
          <w:sz w:val="28"/>
          <w:szCs w:val="28"/>
        </w:rPr>
        <w:t>Зручно. Непомітно. Людяно”.</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79" w:name="n478"/>
      <w:bookmarkEnd w:id="279"/>
      <w:r>
        <w:rPr>
          <w:rFonts w:eastAsia="Times New Roman" w:cs="Times New Roman" w:ascii="Times New Roman" w:hAnsi="Times New Roman"/>
          <w:color w:val="333333"/>
          <w:sz w:val="28"/>
          <w:szCs w:val="28"/>
        </w:rPr>
        <w:t>5. У разі потреби для орієнтування в центрі надання адміністративних послуг можуть використовуватися інші навігаційні таблички, які виготовляються з дотриманням вимог щодо кольору, шрифту та розміру.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80" w:name="n479"/>
      <w:bookmarkEnd w:id="280"/>
      <w:r>
        <w:rPr>
          <w:rFonts w:eastAsia="Times New Roman" w:cs="Times New Roman" w:ascii="Times New Roman" w:hAnsi="Times New Roman"/>
          <w:color w:val="333333"/>
          <w:sz w:val="28"/>
          <w:szCs w:val="28"/>
        </w:rPr>
        <w:t>6. Таблички, що вказують напрямок руху, застосовуються у разі потреби додатково до навігаційних табличок.</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81" w:name="n480"/>
      <w:bookmarkEnd w:id="281"/>
      <w:r>
        <w:rPr>
          <w:rFonts w:eastAsia="Times New Roman" w:cs="Times New Roman" w:ascii="Times New Roman" w:hAnsi="Times New Roman"/>
          <w:color w:val="333333"/>
          <w:sz w:val="28"/>
          <w:szCs w:val="28"/>
        </w:rPr>
        <w:t>7. Градієнт кольору для відтворення фону, на якому розміщуються написи, має таке значення:</w:t>
      </w:r>
    </w:p>
    <w:tbl>
      <w:tblPr>
        <w:tblStyle w:val="3"/>
        <w:tblW w:w="5000" w:type="pct"/>
        <w:jc w:val="left"/>
        <w:tblInd w:w="0" w:type="dxa"/>
        <w:tblLayout w:type="fixed"/>
        <w:tblCellMar>
          <w:top w:w="10" w:type="dxa"/>
          <w:left w:w="10" w:type="dxa"/>
          <w:bottom w:w="10" w:type="dxa"/>
          <w:right w:w="10" w:type="dxa"/>
        </w:tblCellMar>
      </w:tblPr>
      <w:tblGrid>
        <w:gridCol w:w="673"/>
        <w:gridCol w:w="8965"/>
      </w:tblGrid>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282" w:name="n481"/>
            <w:bookmarkStart w:id="283" w:name="n481"/>
            <w:bookmarkEnd w:id="283"/>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#007EFF; CMYK - 100 %, 51 %, 0 %, 1 %;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#89DB33; CMYK - 37 %, 0 %, 77 %, 14 %.</w:t>
            </w:r>
          </w:p>
        </w:tc>
      </w:tr>
    </w:tbl>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284" w:name="n509"/>
      <w:bookmarkStart w:id="285" w:name="n509"/>
      <w:bookmarkEnd w:id="285"/>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tbl>
      <w:tblPr>
        <w:tblStyle w:val="3"/>
        <w:tblW w:w="5000" w:type="pct"/>
        <w:jc w:val="left"/>
        <w:tblInd w:w="0" w:type="dxa"/>
        <w:tblLayout w:type="fixed"/>
        <w:tblCellMar>
          <w:top w:w="0" w:type="dxa"/>
          <w:left w:w="2" w:type="dxa"/>
          <w:bottom w:w="0" w:type="dxa"/>
          <w:right w:w="2" w:type="dxa"/>
        </w:tblCellMar>
      </w:tblPr>
      <w:tblGrid>
        <w:gridCol w:w="4483"/>
        <w:gridCol w:w="5155"/>
      </w:tblGrid>
      <w:tr>
        <w:trPr/>
        <w:tc>
          <w:tcPr>
            <w:tcW w:w="448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286" w:name="n482"/>
            <w:bookmarkStart w:id="287" w:name="n482"/>
            <w:bookmarkEnd w:id="287"/>
          </w:p>
        </w:tc>
        <w:tc>
          <w:tcPr>
            <w:tcW w:w="515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Додаток 3</w:t>
              <w:br/>
              <w:t>до  регламенту</w:t>
            </w:r>
          </w:p>
        </w:tc>
      </w:tr>
    </w:tbl>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288" w:name="n483"/>
      <w:bookmarkEnd w:id="288"/>
      <w:r>
        <w:rPr>
          <w:rFonts w:eastAsia="Times New Roman" w:cs="Times New Roman" w:ascii="Times New Roman" w:hAnsi="Times New Roman"/>
          <w:b/>
          <w:bCs/>
          <w:color w:val="333333"/>
          <w:sz w:val="28"/>
          <w:szCs w:val="28"/>
        </w:rPr>
        <w:t>ЗРАЗОК ТА ОПИС</w:t>
      </w:r>
      <w:r>
        <w:rPr>
          <w:rFonts w:eastAsia="Times New Roman" w:cs="Times New Roman" w:ascii="Times New Roman" w:hAnsi="Times New Roman"/>
          <w:color w:val="333333"/>
          <w:sz w:val="28"/>
          <w:szCs w:val="28"/>
        </w:rPr>
        <w:br/>
      </w:r>
      <w:r>
        <w:rPr>
          <w:rFonts w:eastAsia="Times New Roman" w:cs="Times New Roman" w:ascii="Times New Roman" w:hAnsi="Times New Roman"/>
          <w:b/>
          <w:bCs/>
          <w:color w:val="333333"/>
          <w:sz w:val="28"/>
          <w:szCs w:val="28"/>
        </w:rPr>
        <w:t>табличок для позначення робочих місць адміністраторів</w:t>
      </w:r>
    </w:p>
    <w:p>
      <w:pPr>
        <w:pStyle w:val="Style14"/>
        <w:spacing w:lineRule="auto" w:line="240" w:before="0" w:after="91"/>
        <w:ind w:firstLine="273"/>
        <w:jc w:val="center"/>
        <w:rPr>
          <w:rFonts w:ascii="Times New Roman" w:hAnsi="Times New Roman" w:eastAsia="Times New Roman" w:cs="Times New Roman"/>
          <w:color w:val="333333"/>
          <w:sz w:val="28"/>
          <w:szCs w:val="28"/>
        </w:rPr>
      </w:pPr>
      <w:r>
        <w:rPr/>
        <w:drawing>
          <wp:inline distT="0" distB="0" distL="0" distR="0">
            <wp:extent cx="1819275" cy="1228725"/>
            <wp:effectExtent l="0" t="0" r="0" b="0"/>
            <wp:docPr id="10" name="Зображення9" desc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9" descr="">
                      <a:hlinkClick r:id="rId22"/>
                    </pic:cNvPr>
                    <pic:cNvPicPr>
                      <a:picLocks noChangeAspect="1" noChangeArrowheads="1"/>
                    </pic:cNvPicPr>
                  </pic:nvPicPr>
                  <pic:blipFill>
                    <a:blip r:embed="rId21"/>
                    <a:stretch>
                      <a:fillRect/>
                    </a:stretch>
                  </pic:blipFill>
                  <pic:spPr bwMode="auto">
                    <a:xfrm>
                      <a:off x="0" y="0"/>
                      <a:ext cx="1819275" cy="1228725"/>
                    </a:xfrm>
                    <a:prstGeom prst="rect">
                      <a:avLst/>
                    </a:prstGeom>
                    <a:ln w="9525">
                      <a:solidFill>
                        <a:srgbClr val="0000FF"/>
                      </a:solidFill>
                    </a:ln>
                  </pic:spPr>
                </pic:pic>
              </a:graphicData>
            </a:graphic>
          </wp:inline>
        </w:drawing>
      </w:r>
    </w:p>
    <w:p>
      <w:pPr>
        <w:pStyle w:val="Style14"/>
        <w:rPr>
          <w:rFonts w:ascii="Times New Roman" w:hAnsi="Times New Roman"/>
          <w:sz w:val="28"/>
          <w:szCs w:val="28"/>
        </w:rPr>
      </w:pPr>
      <w:bookmarkStart w:id="289" w:name="n485"/>
      <w:bookmarkEnd w:id="289"/>
      <w:r>
        <w:rPr>
          <w:rFonts w:ascii="Times New Roman" w:hAnsi="Times New Roman"/>
          <w:sz w:val="28"/>
          <w:szCs w:val="28"/>
        </w:rPr>
        <w:t>1. Таблички для позначення робочих місць адміністраторів центрів надання адміністративних послуг можуть розміщуватися на робочих місцях (столах) адміністраторів у разі відсутності електронного табло та мають форму квадрата розміром 210 х 210 міліметрів.</w:t>
      </w:r>
    </w:p>
    <w:p>
      <w:pPr>
        <w:pStyle w:val="Style14"/>
        <w:rPr>
          <w:rFonts w:ascii="Times New Roman" w:hAnsi="Times New Roman"/>
          <w:sz w:val="28"/>
          <w:szCs w:val="28"/>
        </w:rPr>
      </w:pPr>
      <w:bookmarkStart w:id="290" w:name="n486"/>
      <w:bookmarkEnd w:id="290"/>
      <w:r>
        <w:rPr>
          <w:rFonts w:ascii="Times New Roman" w:hAnsi="Times New Roman"/>
          <w:sz w:val="28"/>
          <w:szCs w:val="28"/>
        </w:rPr>
        <w:t>2. Написи виконуються цифрами чорного кольору, шрифтовою гарнітурою “e-Ukraine”. Висота всіх літер напису становить не менше 60 відсотків розміру таблички.</w:t>
      </w:r>
    </w:p>
    <w:p>
      <w:pPr>
        <w:pStyle w:val="Style14"/>
        <w:rPr>
          <w:rFonts w:ascii="Times New Roman" w:hAnsi="Times New Roman"/>
          <w:sz w:val="28"/>
          <w:szCs w:val="28"/>
        </w:rPr>
      </w:pPr>
      <w:bookmarkStart w:id="291" w:name="n487"/>
      <w:bookmarkEnd w:id="291"/>
      <w:r>
        <w:rPr>
          <w:rFonts w:ascii="Times New Roman" w:hAnsi="Times New Roman"/>
          <w:sz w:val="28"/>
          <w:szCs w:val="28"/>
        </w:rPr>
        <w:t>3. Градієнт кольору для відтворення фону, на якому розміщується напис, має таке значення:</w:t>
      </w:r>
    </w:p>
    <w:p>
      <w:pPr>
        <w:pStyle w:val="Normal"/>
        <w:spacing w:before="0" w:after="0"/>
        <w:rPr>
          <w:rFonts w:ascii="Times New Roman" w:hAnsi="Times New Roman"/>
          <w:sz w:val="4"/>
          <w:szCs w:val="4"/>
        </w:rPr>
      </w:pPr>
      <w:r>
        <w:rPr>
          <w:rFonts w:ascii="Times New Roman" w:hAnsi="Times New Roman"/>
          <w:sz w:val="4"/>
          <w:szCs w:val="4"/>
        </w:rPr>
      </w:r>
      <w:bookmarkStart w:id="292" w:name="n488"/>
      <w:bookmarkStart w:id="293" w:name="n488"/>
      <w:bookmarkEnd w:id="293"/>
    </w:p>
    <w:tbl>
      <w:tblPr>
        <w:tblW w:w="5000" w:type="pct"/>
        <w:jc w:val="left"/>
        <w:tblInd w:w="28" w:type="dxa"/>
        <w:tblLayout w:type="fixed"/>
        <w:tblCellMar>
          <w:top w:w="28" w:type="dxa"/>
          <w:left w:w="28" w:type="dxa"/>
          <w:bottom w:w="28" w:type="dxa"/>
          <w:right w:w="28" w:type="dxa"/>
        </w:tblCellMar>
      </w:tblPr>
      <w:tblGrid>
        <w:gridCol w:w="944"/>
        <w:gridCol w:w="8694"/>
      </w:tblGrid>
      <w:tr>
        <w:trPr/>
        <w:tc>
          <w:tcPr>
            <w:tcW w:w="944" w:type="dxa"/>
            <w:tcBorders/>
          </w:tcPr>
          <w:p>
            <w:pPr>
              <w:pStyle w:val="Style18"/>
              <w:widowControl w:val="false"/>
              <w:suppressLineNumbers/>
              <w:spacing w:before="0" w:after="200"/>
              <w:rPr/>
            </w:pPr>
            <w:r>
              <w:rPr/>
              <w:drawing>
                <wp:inline distT="0" distB="0" distL="0" distR="0">
                  <wp:extent cx="361950" cy="371475"/>
                  <wp:effectExtent l="0" t="0" r="0" b="0"/>
                  <wp:docPr id="11" name="Зображення10" desc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10" descr="">
                            <a:hlinkClick r:id="rId24"/>
                          </pic:cNvPr>
                          <pic:cNvPicPr>
                            <a:picLocks noChangeAspect="1" noChangeArrowheads="1"/>
                          </pic:cNvPicPr>
                        </pic:nvPicPr>
                        <pic:blipFill>
                          <a:blip r:embed="rId23"/>
                          <a:stretch>
                            <a:fillRect/>
                          </a:stretch>
                        </pic:blipFill>
                        <pic:spPr bwMode="auto">
                          <a:xfrm>
                            <a:off x="0" y="0"/>
                            <a:ext cx="361950" cy="371475"/>
                          </a:xfrm>
                          <a:prstGeom prst="rect">
                            <a:avLst/>
                          </a:prstGeom>
                          <a:ln w="9525">
                            <a:solidFill>
                              <a:srgbClr val="0000FF"/>
                            </a:solidFill>
                          </a:ln>
                        </pic:spPr>
                      </pic:pic>
                    </a:graphicData>
                  </a:graphic>
                </wp:inline>
              </w:drawing>
            </w:r>
          </w:p>
        </w:tc>
        <w:tc>
          <w:tcPr>
            <w:tcW w:w="8694" w:type="dxa"/>
            <w:tcBorders/>
            <w:vAlign w:val="center"/>
          </w:tcPr>
          <w:p>
            <w:pPr>
              <w:pStyle w:val="Style18"/>
              <w:widowControl w:val="false"/>
              <w:suppressLineNumbers/>
              <w:spacing w:before="0" w:after="200"/>
              <w:rPr/>
            </w:pPr>
            <w:r>
              <w:rPr/>
              <w:t>HEX - #04C65D; CMYK - 72 %, 0 %, 80 %, 0 %;</w:t>
            </w:r>
          </w:p>
        </w:tc>
      </w:tr>
      <w:tr>
        <w:trPr/>
        <w:tc>
          <w:tcPr>
            <w:tcW w:w="944" w:type="dxa"/>
            <w:tcBorders/>
          </w:tcPr>
          <w:p>
            <w:pPr>
              <w:pStyle w:val="Style18"/>
              <w:widowControl w:val="false"/>
              <w:suppressLineNumbers/>
              <w:spacing w:before="0" w:after="200"/>
              <w:rPr/>
            </w:pPr>
            <w:r>
              <w:rPr/>
              <w:drawing>
                <wp:inline distT="0" distB="0" distL="0" distR="0">
                  <wp:extent cx="361950" cy="371475"/>
                  <wp:effectExtent l="0" t="0" r="0" b="0"/>
                  <wp:docPr id="12" name="Зображення11" descr="">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ображення11" descr="">
                            <a:hlinkClick r:id="rId26"/>
                          </pic:cNvPr>
                          <pic:cNvPicPr>
                            <a:picLocks noChangeAspect="1" noChangeArrowheads="1"/>
                          </pic:cNvPicPr>
                        </pic:nvPicPr>
                        <pic:blipFill>
                          <a:blip r:embed="rId25"/>
                          <a:stretch>
                            <a:fillRect/>
                          </a:stretch>
                        </pic:blipFill>
                        <pic:spPr bwMode="auto">
                          <a:xfrm>
                            <a:off x="0" y="0"/>
                            <a:ext cx="361950" cy="371475"/>
                          </a:xfrm>
                          <a:prstGeom prst="rect">
                            <a:avLst/>
                          </a:prstGeom>
                          <a:ln w="9525">
                            <a:solidFill>
                              <a:srgbClr val="0000FF"/>
                            </a:solidFill>
                          </a:ln>
                        </pic:spPr>
                      </pic:pic>
                    </a:graphicData>
                  </a:graphic>
                </wp:inline>
              </w:drawing>
            </w:r>
          </w:p>
        </w:tc>
        <w:tc>
          <w:tcPr>
            <w:tcW w:w="8694" w:type="dxa"/>
            <w:tcBorders/>
            <w:vAlign w:val="center"/>
          </w:tcPr>
          <w:p>
            <w:pPr>
              <w:pStyle w:val="Style18"/>
              <w:widowControl w:val="false"/>
              <w:suppressLineNumbers/>
              <w:spacing w:before="0" w:after="200"/>
              <w:rPr/>
            </w:pPr>
            <w:r>
              <w:rPr/>
              <w:t>HEX - #AA2B8E; CMYK - 41 %, 92 %, 0 %, 0 %;</w:t>
            </w:r>
          </w:p>
        </w:tc>
      </w:tr>
      <w:tr>
        <w:trPr/>
        <w:tc>
          <w:tcPr>
            <w:tcW w:w="944" w:type="dxa"/>
            <w:tcBorders/>
          </w:tcPr>
          <w:p>
            <w:pPr>
              <w:pStyle w:val="Style18"/>
              <w:widowControl w:val="false"/>
              <w:suppressLineNumbers/>
              <w:spacing w:before="0" w:after="200"/>
              <w:rPr/>
            </w:pPr>
            <w:r>
              <w:rPr/>
              <w:drawing>
                <wp:inline distT="0" distB="0" distL="0" distR="0">
                  <wp:extent cx="361950" cy="371475"/>
                  <wp:effectExtent l="0" t="0" r="0" b="0"/>
                  <wp:docPr id="13" name="Зображення12" descr="">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12" descr="">
                            <a:hlinkClick r:id="rId28"/>
                          </pic:cNvPr>
                          <pic:cNvPicPr>
                            <a:picLocks noChangeAspect="1" noChangeArrowheads="1"/>
                          </pic:cNvPicPr>
                        </pic:nvPicPr>
                        <pic:blipFill>
                          <a:blip r:embed="rId27"/>
                          <a:stretch>
                            <a:fillRect/>
                          </a:stretch>
                        </pic:blipFill>
                        <pic:spPr bwMode="auto">
                          <a:xfrm>
                            <a:off x="0" y="0"/>
                            <a:ext cx="361950" cy="371475"/>
                          </a:xfrm>
                          <a:prstGeom prst="rect">
                            <a:avLst/>
                          </a:prstGeom>
                          <a:ln w="9525">
                            <a:solidFill>
                              <a:srgbClr val="0000FF"/>
                            </a:solidFill>
                          </a:ln>
                        </pic:spPr>
                      </pic:pic>
                    </a:graphicData>
                  </a:graphic>
                </wp:inline>
              </w:drawing>
            </w:r>
          </w:p>
        </w:tc>
        <w:tc>
          <w:tcPr>
            <w:tcW w:w="8694" w:type="dxa"/>
            <w:tcBorders/>
            <w:vAlign w:val="center"/>
          </w:tcPr>
          <w:p>
            <w:pPr>
              <w:pStyle w:val="Style18"/>
              <w:widowControl w:val="false"/>
              <w:suppressLineNumbers/>
              <w:spacing w:before="0" w:after="200"/>
              <w:rPr/>
            </w:pPr>
            <w:r>
              <w:rPr/>
              <w:t>HEX - #007EFF; CMYK - 80 %, 51 %, 0 %, 0 %;</w:t>
            </w:r>
          </w:p>
        </w:tc>
      </w:tr>
      <w:tr>
        <w:trPr/>
        <w:tc>
          <w:tcPr>
            <w:tcW w:w="944" w:type="dxa"/>
            <w:tcBorders/>
          </w:tcPr>
          <w:p>
            <w:pPr>
              <w:pStyle w:val="Style18"/>
              <w:widowControl w:val="false"/>
              <w:suppressLineNumbers/>
              <w:spacing w:before="0" w:after="200"/>
              <w:rPr/>
            </w:pPr>
            <w:r>
              <w:rPr/>
              <w:drawing>
                <wp:inline distT="0" distB="0" distL="0" distR="0">
                  <wp:extent cx="361950" cy="371475"/>
                  <wp:effectExtent l="0" t="0" r="0" b="0"/>
                  <wp:docPr id="14" name="Зображення13" descr="">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13" descr="">
                            <a:hlinkClick r:id="rId30"/>
                          </pic:cNvPr>
                          <pic:cNvPicPr>
                            <a:picLocks noChangeAspect="1" noChangeArrowheads="1"/>
                          </pic:cNvPicPr>
                        </pic:nvPicPr>
                        <pic:blipFill>
                          <a:blip r:embed="rId29"/>
                          <a:stretch>
                            <a:fillRect/>
                          </a:stretch>
                        </pic:blipFill>
                        <pic:spPr bwMode="auto">
                          <a:xfrm>
                            <a:off x="0" y="0"/>
                            <a:ext cx="361950" cy="371475"/>
                          </a:xfrm>
                          <a:prstGeom prst="rect">
                            <a:avLst/>
                          </a:prstGeom>
                          <a:ln w="9525">
                            <a:solidFill>
                              <a:srgbClr val="0000FF"/>
                            </a:solidFill>
                          </a:ln>
                        </pic:spPr>
                      </pic:pic>
                    </a:graphicData>
                  </a:graphic>
                </wp:inline>
              </w:drawing>
            </w:r>
          </w:p>
        </w:tc>
        <w:tc>
          <w:tcPr>
            <w:tcW w:w="8694" w:type="dxa"/>
            <w:tcBorders/>
            <w:vAlign w:val="center"/>
          </w:tcPr>
          <w:p>
            <w:pPr>
              <w:pStyle w:val="Style18"/>
              <w:widowControl w:val="false"/>
              <w:suppressLineNumbers/>
              <w:spacing w:before="0" w:after="200"/>
              <w:rPr/>
            </w:pPr>
            <w:r>
              <w:rPr/>
              <w:t>HEX - #FF831A; CMYK - 0 %, 58 %, 90 %, 0 %.</w:t>
            </w:r>
          </w:p>
        </w:tc>
      </w:tr>
    </w:tbl>
    <w:p>
      <w:pPr>
        <w:pStyle w:val="Normal"/>
        <w:spacing w:lineRule="auto" w:line="240" w:before="0" w:after="91"/>
        <w:ind w:firstLine="273"/>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3"/>
        <w:tblW w:w="5000" w:type="pct"/>
        <w:jc w:val="left"/>
        <w:tblInd w:w="0" w:type="dxa"/>
        <w:tblLayout w:type="fixed"/>
        <w:tblCellMar>
          <w:top w:w="0" w:type="dxa"/>
          <w:left w:w="2" w:type="dxa"/>
          <w:bottom w:w="0" w:type="dxa"/>
          <w:right w:w="2" w:type="dxa"/>
        </w:tblCellMar>
      </w:tblPr>
      <w:tblGrid>
        <w:gridCol w:w="4483"/>
        <w:gridCol w:w="5155"/>
      </w:tblGrid>
      <w:tr>
        <w:trPr/>
        <w:tc>
          <w:tcPr>
            <w:tcW w:w="448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294" w:name="n489"/>
            <w:bookmarkStart w:id="295" w:name="n489"/>
            <w:bookmarkEnd w:id="295"/>
          </w:p>
        </w:tc>
        <w:tc>
          <w:tcPr>
            <w:tcW w:w="515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Додаток 4</w:t>
              <w:br/>
              <w:t>до регламенту</w:t>
            </w:r>
          </w:p>
        </w:tc>
      </w:tr>
    </w:tbl>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296" w:name="n490"/>
      <w:bookmarkEnd w:id="296"/>
      <w:r>
        <w:rPr>
          <w:rFonts w:eastAsia="Times New Roman" w:cs="Times New Roman" w:ascii="Times New Roman" w:hAnsi="Times New Roman"/>
          <w:b/>
          <w:bCs/>
          <w:color w:val="333333"/>
          <w:sz w:val="28"/>
          <w:szCs w:val="28"/>
        </w:rPr>
        <w:t>ЗРАЗОК ТА ОПИС</w:t>
      </w:r>
      <w:r>
        <w:rPr>
          <w:rFonts w:eastAsia="Times New Roman" w:cs="Times New Roman" w:ascii="Times New Roman" w:hAnsi="Times New Roman"/>
          <w:color w:val="333333"/>
          <w:sz w:val="28"/>
          <w:szCs w:val="28"/>
        </w:rPr>
        <w:br/>
      </w:r>
      <w:r>
        <w:rPr>
          <w:rFonts w:eastAsia="Times New Roman" w:cs="Times New Roman" w:ascii="Times New Roman" w:hAnsi="Times New Roman"/>
          <w:b/>
          <w:bCs/>
          <w:color w:val="333333"/>
          <w:sz w:val="28"/>
          <w:szCs w:val="28"/>
        </w:rPr>
        <w:t>піктограм</w:t>
      </w:r>
    </w:p>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drawing>
          <wp:anchor behindDoc="0" distT="0" distB="0" distL="0" distR="0" simplePos="0" locked="0" layoutInCell="0" allowOverlap="1" relativeHeight="16">
            <wp:simplePos x="0" y="0"/>
            <wp:positionH relativeFrom="column">
              <wp:align>center</wp:align>
            </wp:positionH>
            <wp:positionV relativeFrom="paragraph">
              <wp:posOffset>635</wp:posOffset>
            </wp:positionV>
            <wp:extent cx="5743575" cy="3743325"/>
            <wp:effectExtent l="0" t="0" r="0" b="0"/>
            <wp:wrapSquare wrapText="largest"/>
            <wp:docPr id="15" name="Зображення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Зображення14" descr=""/>
                    <pic:cNvPicPr>
                      <a:picLocks noChangeAspect="1" noChangeArrowheads="1"/>
                    </pic:cNvPicPr>
                  </pic:nvPicPr>
                  <pic:blipFill>
                    <a:blip r:embed="rId31"/>
                    <a:stretch>
                      <a:fillRect/>
                    </a:stretch>
                  </pic:blipFill>
                  <pic:spPr bwMode="auto">
                    <a:xfrm>
                      <a:off x="0" y="0"/>
                      <a:ext cx="5743575" cy="3743325"/>
                    </a:xfrm>
                    <a:prstGeom prst="rect">
                      <a:avLst/>
                    </a:prstGeom>
                  </pic:spPr>
                </pic:pic>
              </a:graphicData>
            </a:graphic>
          </wp:anchor>
        </w:drawing>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97" w:name="n491"/>
      <w:bookmarkStart w:id="298" w:name="n492"/>
      <w:bookmarkEnd w:id="297"/>
      <w:bookmarkEnd w:id="298"/>
      <w:r>
        <w:rPr>
          <w:rFonts w:eastAsia="Times New Roman" w:cs="Times New Roman" w:ascii="Times New Roman" w:hAnsi="Times New Roman"/>
          <w:color w:val="333333"/>
          <w:sz w:val="28"/>
          <w:szCs w:val="28"/>
        </w:rPr>
        <w:t>1. Піктограми виготовлені з полівінілхлоридового коробу завтовшки 50 міліметрів, мають форму квадрата розміром 650 х 650 міліметрів та радіусом заокруглення 150 міліметрів. Піктограми розміщуються одна від одної на відстані 150 міліметрів. Короб та слова виклеєні плівкою Oracal 641.</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299" w:name="n493"/>
      <w:bookmarkEnd w:id="299"/>
      <w:r>
        <w:rPr>
          <w:rFonts w:eastAsia="Times New Roman" w:cs="Times New Roman" w:ascii="Times New Roman" w:hAnsi="Times New Roman"/>
          <w:color w:val="333333"/>
          <w:sz w:val="28"/>
          <w:szCs w:val="28"/>
        </w:rPr>
        <w:t>2. Рекомендований колір фону, на якому розміщуються піктограми, має таке значення:</w:t>
      </w:r>
    </w:p>
    <w:tbl>
      <w:tblPr>
        <w:tblStyle w:val="3"/>
        <w:tblW w:w="5000" w:type="pct"/>
        <w:jc w:val="left"/>
        <w:tblInd w:w="0" w:type="dxa"/>
        <w:tblLayout w:type="fixed"/>
        <w:tblCellMar>
          <w:top w:w="10" w:type="dxa"/>
          <w:left w:w="10" w:type="dxa"/>
          <w:bottom w:w="10" w:type="dxa"/>
          <w:right w:w="10" w:type="dxa"/>
        </w:tblCellMar>
      </w:tblPr>
      <w:tblGrid>
        <w:gridCol w:w="667"/>
        <w:gridCol w:w="8971"/>
      </w:tblGrid>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300" w:name="n494"/>
            <w:bookmarkStart w:id="301" w:name="n494"/>
            <w:bookmarkEnd w:id="301"/>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#45494E; СMYK - 30 %, 20 %, 0 %, 80 %;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#5d6970; СMYK - 17 %, 6 %, 0 %, 56 %;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#3f3a3a; СMYK - 0 %, 8 %, 8 %, 75 %;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#0f4336; СMYK - 78 %, 0 %, 19 %, 74 %;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#1f4764; СMYK - 69 %, 29 %, 0 %, 61 %.</w:t>
            </w:r>
          </w:p>
        </w:tc>
      </w:tr>
    </w:tbl>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02" w:name="n495"/>
      <w:bookmarkEnd w:id="302"/>
      <w:r>
        <w:rPr>
          <w:rFonts w:eastAsia="Times New Roman" w:cs="Times New Roman" w:ascii="Times New Roman" w:hAnsi="Times New Roman"/>
          <w:color w:val="333333"/>
          <w:sz w:val="28"/>
          <w:szCs w:val="28"/>
        </w:rPr>
        <w:t>Монтаж на стіну здійснюється за допомогою двостороннього скотчу.</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03" w:name="n496"/>
      <w:bookmarkEnd w:id="303"/>
      <w:r>
        <w:rPr>
          <w:rFonts w:eastAsia="Times New Roman" w:cs="Times New Roman" w:ascii="Times New Roman" w:hAnsi="Times New Roman"/>
          <w:color w:val="333333"/>
          <w:sz w:val="28"/>
          <w:szCs w:val="28"/>
        </w:rPr>
        <w:t>3. Написи виконуються літерами чорного кольору, шрифтовою гарнітурою “e-Ukraine”, висотою не менше 50 міліметрів.</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04" w:name="n497"/>
      <w:bookmarkEnd w:id="304"/>
      <w:r>
        <w:rPr>
          <w:rFonts w:eastAsia="Times New Roman" w:cs="Times New Roman" w:ascii="Times New Roman" w:hAnsi="Times New Roman"/>
          <w:color w:val="333333"/>
          <w:sz w:val="28"/>
          <w:szCs w:val="28"/>
        </w:rPr>
        <w:t>4. У центрі піктограм розміщуються 12 написів з використанням відповідного кольору фону “Зручно”, “Швидко”, “Сучасно”, “Безбар’єрно”, “Просто”, “Людяно”, “Надійно”, “Досконало”, “Доступно”, “Прозоро”, “Дієво”, “Привітно”.</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05" w:name="n498"/>
      <w:bookmarkEnd w:id="305"/>
      <w:r>
        <w:rPr>
          <w:rFonts w:eastAsia="Times New Roman" w:cs="Times New Roman" w:ascii="Times New Roman" w:hAnsi="Times New Roman"/>
          <w:color w:val="333333"/>
          <w:sz w:val="28"/>
          <w:szCs w:val="28"/>
        </w:rPr>
        <w:t>5. Кольори для відтворення фону, на якому розміщуються написи, мають таке значення:</w:t>
      </w:r>
    </w:p>
    <w:tbl>
      <w:tblPr>
        <w:tblStyle w:val="3"/>
        <w:tblW w:w="5000" w:type="pct"/>
        <w:jc w:val="left"/>
        <w:tblInd w:w="0" w:type="dxa"/>
        <w:tblLayout w:type="fixed"/>
        <w:tblCellMar>
          <w:top w:w="10" w:type="dxa"/>
          <w:left w:w="10" w:type="dxa"/>
          <w:bottom w:w="10" w:type="dxa"/>
          <w:right w:w="10" w:type="dxa"/>
        </w:tblCellMar>
      </w:tblPr>
      <w:tblGrid>
        <w:gridCol w:w="667"/>
        <w:gridCol w:w="8971"/>
      </w:tblGrid>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306" w:name="n499"/>
            <w:bookmarkStart w:id="307" w:name="n499"/>
            <w:bookmarkEnd w:id="307"/>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#42B549; СMYK - 79 %, 0 %, 99 %, 0 %;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#524A9D; СMYK - 80 %, 78 %, 0 %, 0 %;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#FFFFFF; СMYK - 0 %, 0 %, 0 %, 0 %;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#F26F21; СMYK - 0 %, 70 %, 100 %, 0 %;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#30A2DB; СMYK - 78 %, 14 %, 0 %, 0 %;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#ED3224; СMYK - 0 %, 95 %, 90 %, 0 %;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#FBED23; СMYK - 8 %, 0 %, 100 %, 0 %;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#EC1475; СMYK - 0 %, 100 %, 10 %, 0 %;</w:t>
            </w:r>
          </w:p>
        </w:tc>
      </w:tr>
      <w:tr>
        <w:trPr/>
        <w:tc>
          <w:tcPr>
            <w:tcW w:w="66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71"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відсотків #EC1B34; СMYK - 0 %, 100 %, 74 %, 0 %.</w:t>
            </w:r>
          </w:p>
        </w:tc>
      </w:tr>
    </w:tbl>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bookmarkStart w:id="308" w:name="n513"/>
      <w:bookmarkStart w:id="309" w:name="n514"/>
      <w:bookmarkStart w:id="310" w:name="n513"/>
      <w:bookmarkStart w:id="311" w:name="n514"/>
      <w:bookmarkEnd w:id="310"/>
      <w:bookmarkEnd w:id="311"/>
    </w:p>
    <w:tbl>
      <w:tblPr>
        <w:tblStyle w:val="3"/>
        <w:tblW w:w="5000" w:type="pct"/>
        <w:jc w:val="left"/>
        <w:tblInd w:w="0" w:type="dxa"/>
        <w:tblLayout w:type="fixed"/>
        <w:tblCellMar>
          <w:top w:w="0" w:type="dxa"/>
          <w:left w:w="2" w:type="dxa"/>
          <w:bottom w:w="0" w:type="dxa"/>
          <w:right w:w="2" w:type="dxa"/>
        </w:tblCellMar>
      </w:tblPr>
      <w:tblGrid>
        <w:gridCol w:w="4483"/>
        <w:gridCol w:w="5155"/>
      </w:tblGrid>
      <w:tr>
        <w:trPr/>
        <w:tc>
          <w:tcPr>
            <w:tcW w:w="4483"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312" w:name="n500"/>
            <w:bookmarkStart w:id="313" w:name="n500"/>
            <w:bookmarkEnd w:id="313"/>
          </w:p>
        </w:tc>
        <w:tc>
          <w:tcPr>
            <w:tcW w:w="515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91" w:after="91"/>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Додаток 5</w:t>
              <w:br/>
              <w:t>до  регламенту</w:t>
            </w:r>
          </w:p>
        </w:tc>
      </w:tr>
    </w:tbl>
    <w:p>
      <w:pPr>
        <w:pStyle w:val="Normal"/>
        <w:spacing w:lineRule="auto" w:line="240" w:before="91" w:after="91"/>
        <w:ind w:left="273" w:right="273" w:hanging="0"/>
        <w:jc w:val="center"/>
        <w:rPr>
          <w:rFonts w:ascii="Times New Roman" w:hAnsi="Times New Roman" w:eastAsia="Times New Roman" w:cs="Times New Roman"/>
          <w:color w:val="333333"/>
          <w:sz w:val="28"/>
          <w:szCs w:val="28"/>
        </w:rPr>
      </w:pPr>
      <w:bookmarkStart w:id="314" w:name="n501"/>
      <w:bookmarkEnd w:id="314"/>
      <w:r>
        <w:rPr>
          <w:rFonts w:eastAsia="Times New Roman" w:cs="Times New Roman" w:ascii="Times New Roman" w:hAnsi="Times New Roman"/>
          <w:b/>
          <w:bCs/>
          <w:color w:val="333333"/>
          <w:sz w:val="28"/>
          <w:szCs w:val="28"/>
        </w:rPr>
        <w:t>ЗРАЗОК ТА ОПИС</w:t>
      </w:r>
      <w:r>
        <w:rPr>
          <w:rFonts w:eastAsia="Times New Roman" w:cs="Times New Roman" w:ascii="Times New Roman" w:hAnsi="Times New Roman"/>
          <w:color w:val="333333"/>
          <w:sz w:val="28"/>
          <w:szCs w:val="28"/>
        </w:rPr>
        <w:br/>
      </w:r>
      <w:r>
        <w:rPr>
          <w:rFonts w:eastAsia="Times New Roman" w:cs="Times New Roman" w:ascii="Times New Roman" w:hAnsi="Times New Roman"/>
          <w:b/>
          <w:bCs/>
          <w:color w:val="333333"/>
          <w:sz w:val="28"/>
          <w:szCs w:val="28"/>
        </w:rPr>
        <w:t>кольорів, які використовуються для оздоблення стін</w:t>
      </w:r>
    </w:p>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15" w:name="n502"/>
      <w:bookmarkEnd w:id="315"/>
      <w:r>
        <w:rPr>
          <w:rFonts w:eastAsia="Times New Roman" w:cs="Times New Roman" w:ascii="Times New Roman" w:hAnsi="Times New Roman"/>
          <w:color w:val="333333"/>
          <w:sz w:val="28"/>
          <w:szCs w:val="28"/>
        </w:rPr>
        <w:t>1.Кольори для відтворення фону стін мають таке значення:</w:t>
      </w:r>
    </w:p>
    <w:tbl>
      <w:tblPr>
        <w:tblStyle w:val="3"/>
        <w:tblW w:w="5000" w:type="pct"/>
        <w:jc w:val="left"/>
        <w:tblInd w:w="0" w:type="dxa"/>
        <w:tblLayout w:type="fixed"/>
        <w:tblCellMar>
          <w:top w:w="10" w:type="dxa"/>
          <w:left w:w="10" w:type="dxa"/>
          <w:bottom w:w="10" w:type="dxa"/>
          <w:right w:w="10" w:type="dxa"/>
        </w:tblCellMar>
      </w:tblPr>
      <w:tblGrid>
        <w:gridCol w:w="673"/>
        <w:gridCol w:w="8965"/>
      </w:tblGrid>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316" w:name="n503"/>
            <w:bookmarkStart w:id="317" w:name="n503"/>
            <w:bookmarkEnd w:id="317"/>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#FFFFFF; СMYK - 0 %, 0 %, 0 %, 0 %;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#45494E; СMYK - 30 %, 20 %, 0 %, 80 %;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#9ea0a1; СMYK - 2 %, 1 %, 0 %, 37 %;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#cfd0cf; СMYK - 0 %, 0 %, 0 %, 18 %;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#cfd3cd; СMYK - 2 %, 0 %, 3 %, 17 %;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#eadebd; СMYK - 0 %, 5 %, 19 %, 8 %;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#efebdc; СMYK - 0 %, 2 %, 8 %, 6 %.</w:t>
            </w:r>
          </w:p>
        </w:tc>
      </w:tr>
    </w:tbl>
    <w:p>
      <w:pPr>
        <w:pStyle w:val="Normal"/>
        <w:spacing w:lineRule="auto" w:line="240" w:before="0" w:after="91"/>
        <w:ind w:firstLine="273"/>
        <w:jc w:val="both"/>
        <w:rPr>
          <w:rFonts w:ascii="Times New Roman" w:hAnsi="Times New Roman" w:eastAsia="Times New Roman" w:cs="Times New Roman"/>
          <w:color w:val="333333"/>
          <w:sz w:val="28"/>
          <w:szCs w:val="28"/>
        </w:rPr>
      </w:pPr>
      <w:bookmarkStart w:id="318" w:name="n504"/>
      <w:bookmarkEnd w:id="318"/>
      <w:r>
        <w:rPr>
          <w:rFonts w:eastAsia="Times New Roman" w:cs="Times New Roman" w:ascii="Times New Roman" w:hAnsi="Times New Roman"/>
          <w:color w:val="333333"/>
          <w:sz w:val="28"/>
          <w:szCs w:val="28"/>
        </w:rPr>
        <w:t>2. Контрастні кольори для відтворення фону стін мають таке значення:</w:t>
      </w:r>
    </w:p>
    <w:tbl>
      <w:tblPr>
        <w:tblStyle w:val="3"/>
        <w:tblW w:w="5000" w:type="pct"/>
        <w:jc w:val="left"/>
        <w:tblInd w:w="0" w:type="dxa"/>
        <w:tblLayout w:type="fixed"/>
        <w:tblCellMar>
          <w:top w:w="10" w:type="dxa"/>
          <w:left w:w="10" w:type="dxa"/>
          <w:bottom w:w="10" w:type="dxa"/>
          <w:right w:w="10" w:type="dxa"/>
        </w:tblCellMar>
      </w:tblPr>
      <w:tblGrid>
        <w:gridCol w:w="673"/>
        <w:gridCol w:w="8965"/>
      </w:tblGrid>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bookmarkStart w:id="319" w:name="n505"/>
            <w:bookmarkStart w:id="320" w:name="n505"/>
            <w:bookmarkEnd w:id="320"/>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#703731; СMYK - 0 %, 51 %, 56 %, 56 %;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#3481b8; СMYK - 72 %, 30 %, 0 %, 28 %;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#468641; СMYK - 48 %, 0 %, 51 %, 47 %;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#faab21; СMYK - 0 %, 32 %, 87 %, 2 %;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#154889; СMYK - 85 %, 47 %, 0 %, 46 %;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#e75b12; СMYK - 0 %, 61 %, 92 %, 9 %;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#d14152; СMYK - 0 %, 69 %, 61 %, 18 %;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#EEc900; СMYK - 0 %, 16 %, 100 %, 7 %;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#73AАE1; СMYK - 49 %, 14 %, 0 %, 0 %;</w:t>
            </w:r>
          </w:p>
        </w:tc>
      </w:tr>
      <w:tr>
        <w:trPr/>
        <w:tc>
          <w:tcPr>
            <w:tcW w:w="673"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965" w:type="dxa"/>
            <w:tcBorders/>
          </w:tcPr>
          <w:p>
            <w:pPr>
              <w:pStyle w:val="Normal"/>
              <w:widowControl w:val="false"/>
              <w:suppressAutoHyphens w:val="true"/>
              <w:spacing w:lineRule="auto" w:line="240" w:before="91" w:after="91"/>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rPr>
              <w:t>HEX - #B89086; СMYK - 0 %, 22 %, 27 %, 28 %.</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bookmarkStart w:id="321" w:name="n515"/>
      <w:bookmarkStart w:id="322" w:name="n515"/>
      <w:bookmarkEnd w:id="322"/>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b/>
          <w:bCs/>
          <w:i w:val="false"/>
          <w:iCs w:val="false"/>
          <w:color w:val="333333"/>
          <w:sz w:val="30"/>
          <w:szCs w:val="30"/>
          <w:u w:val="none"/>
        </w:rPr>
        <w:t xml:space="preserve">       </w:t>
      </w:r>
      <w:r>
        <w:rPr>
          <w:rFonts w:eastAsia="Times New Roman" w:cs="Times New Roman" w:ascii="Times New Roman" w:hAnsi="Times New Roman"/>
          <w:b/>
          <w:bCs/>
          <w:i w:val="false"/>
          <w:iCs w:val="false"/>
          <w:color w:val="333333"/>
          <w:sz w:val="30"/>
          <w:szCs w:val="30"/>
          <w:u w:val="none"/>
        </w:rPr>
        <w:t>Секретар міської ради</w:t>
        <w:tab/>
        <w:tab/>
        <w:tab/>
        <w:tab/>
        <w:tab/>
        <w:t>Мар’ян Берник</w:t>
      </w:r>
    </w:p>
    <w:p>
      <w:pPr>
        <w:pStyle w:val="Normal"/>
        <w:spacing w:lineRule="auto" w:line="240" w:before="0" w:after="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before="0" w:after="200"/>
        <w:rPr>
          <w:rFonts w:ascii="Times New Roman" w:hAnsi="Times New Roman" w:cs="Times New Roman"/>
          <w:b/>
          <w:sz w:val="28"/>
          <w:szCs w:val="28"/>
        </w:rPr>
      </w:pPr>
      <w:r>
        <w:rPr/>
      </w:r>
    </w:p>
    <w:sectPr>
      <w:type w:val="nextPage"/>
      <w:pgSz w:w="11906" w:h="16838"/>
      <w:pgMar w:left="1417"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uk-UA"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atentStyles>
  <w:style w:type="paragraph" w:styleId="Normal" w:default="1">
    <w:name w:val="Normal"/>
    <w:uiPriority w:val="0"/>
    <w:qFormat/>
    <w:pPr>
      <w:widowControl/>
      <w:suppressAutoHyphens w:val="true"/>
      <w:bidi w:val="0"/>
      <w:spacing w:lineRule="auto" w:line="276" w:before="0" w:after="200"/>
      <w:jc w:val="left"/>
    </w:pPr>
    <w:rPr>
      <w:rFonts w:ascii="Calibri" w:hAnsi="Calibri" w:eastAsia="宋体" w:cs="" w:asciiTheme="minorHAnsi" w:cstheme="minorBidi" w:eastAsiaTheme="minorEastAsia" w:hAnsiTheme="minorHAnsi"/>
      <w:color w:val="auto"/>
      <w:kern w:val="0"/>
      <w:sz w:val="22"/>
      <w:szCs w:val="22"/>
      <w:lang w:val="uk-UA" w:eastAsia="uk-UA" w:bidi="ar-SA"/>
    </w:rPr>
  </w:style>
  <w:style w:type="character" w:styleId="DefaultParagraphFont" w:default="1">
    <w:name w:val="Default Paragraph Font"/>
    <w:uiPriority w:val="1"/>
    <w:semiHidden/>
    <w:unhideWhenUsed/>
    <w:qFormat/>
    <w:rPr/>
  </w:style>
  <w:style w:type="character" w:styleId="Style9">
    <w:name w:val="FollowedHyperlink"/>
    <w:basedOn w:val="DefaultParagraphFont"/>
    <w:uiPriority w:val="99"/>
    <w:semiHidden/>
    <w:unhideWhenUsed/>
    <w:rPr>
      <w:color w:val="800080"/>
      <w:u w:val="single"/>
    </w:rPr>
  </w:style>
  <w:style w:type="character" w:styleId="Style10">
    <w:name w:val="Emphasis"/>
    <w:basedOn w:val="DefaultParagraphFont"/>
    <w:uiPriority w:val="20"/>
    <w:qFormat/>
    <w:rPr>
      <w:i/>
      <w:iCs/>
    </w:rPr>
  </w:style>
  <w:style w:type="character" w:styleId="Style11">
    <w:name w:val="Hyperlink"/>
    <w:basedOn w:val="DefaultParagraphFont"/>
    <w:uiPriority w:val="99"/>
    <w:semiHidden/>
    <w:unhideWhenUsed/>
    <w:rPr>
      <w:color w:val="0000FF"/>
      <w:u w:val="single"/>
    </w:rPr>
  </w:style>
  <w:style w:type="character" w:styleId="HTMLKeyboard">
    <w:name w:val="HTML Keyboard"/>
    <w:basedOn w:val="DefaultParagraphFont"/>
    <w:uiPriority w:val="99"/>
    <w:semiHidden/>
    <w:unhideWhenUsed/>
    <w:qFormat/>
    <w:rPr>
      <w:rFonts w:ascii="Courier New" w:hAnsi="Courier New" w:eastAsia="Times New Roman" w:cs="Courier New"/>
      <w:sz w:val="20"/>
      <w:szCs w:val="20"/>
    </w:rPr>
  </w:style>
  <w:style w:type="character" w:styleId="Mr-auto" w:customStyle="1">
    <w:name w:val="mr-auto"/>
    <w:basedOn w:val="DefaultParagraphFont"/>
    <w:uiPriority w:val="0"/>
    <w:qFormat/>
    <w:rPr/>
  </w:style>
  <w:style w:type="character" w:styleId="Btn-group" w:customStyle="1">
    <w:name w:val="btn-group"/>
    <w:basedOn w:val="DefaultParagraphFont"/>
    <w:uiPriority w:val="0"/>
    <w:qFormat/>
    <w:rPr/>
  </w:style>
  <w:style w:type="character" w:styleId="D-none" w:customStyle="1">
    <w:name w:val="d-none"/>
    <w:basedOn w:val="DefaultParagraphFont"/>
    <w:uiPriority w:val="0"/>
    <w:qFormat/>
    <w:rPr/>
  </w:style>
  <w:style w:type="character" w:styleId="Rvts0" w:customStyle="1">
    <w:name w:val="rvts0"/>
    <w:basedOn w:val="DefaultParagraphFont"/>
    <w:uiPriority w:val="0"/>
    <w:qFormat/>
    <w:rPr/>
  </w:style>
  <w:style w:type="character" w:styleId="Rvts23" w:customStyle="1">
    <w:name w:val="rvts23"/>
    <w:basedOn w:val="DefaultParagraphFont"/>
    <w:uiPriority w:val="0"/>
    <w:qFormat/>
    <w:rPr/>
  </w:style>
  <w:style w:type="character" w:styleId="Rvts64" w:customStyle="1">
    <w:name w:val="rvts64"/>
    <w:basedOn w:val="DefaultParagraphFont"/>
    <w:uiPriority w:val="0"/>
    <w:qFormat/>
    <w:rPr/>
  </w:style>
  <w:style w:type="character" w:styleId="Rvts9" w:customStyle="1">
    <w:name w:val="rvts9"/>
    <w:basedOn w:val="DefaultParagraphFont"/>
    <w:uiPriority w:val="0"/>
    <w:qFormat/>
    <w:rPr/>
  </w:style>
  <w:style w:type="character" w:styleId="Rvts52" w:customStyle="1">
    <w:name w:val="rvts52"/>
    <w:basedOn w:val="DefaultParagraphFont"/>
    <w:uiPriority w:val="0"/>
    <w:qFormat/>
    <w:rPr/>
  </w:style>
  <w:style w:type="character" w:styleId="Rvts44" w:customStyle="1">
    <w:name w:val="rvts44"/>
    <w:basedOn w:val="DefaultParagraphFont"/>
    <w:uiPriority w:val="0"/>
    <w:qFormat/>
    <w:rPr/>
  </w:style>
  <w:style w:type="character" w:styleId="Rvts11" w:customStyle="1">
    <w:name w:val="rvts11"/>
    <w:basedOn w:val="DefaultParagraphFont"/>
    <w:uiPriority w:val="0"/>
    <w:qFormat/>
    <w:rPr/>
  </w:style>
  <w:style w:type="character" w:styleId="Rvts15" w:customStyle="1">
    <w:name w:val="rvts15"/>
    <w:basedOn w:val="DefaultParagraphFont"/>
    <w:uiPriority w:val="0"/>
    <w:qFormat/>
    <w:rPr/>
  </w:style>
  <w:style w:type="character" w:styleId="Rvts46" w:customStyle="1">
    <w:name w:val="rvts46"/>
    <w:basedOn w:val="DefaultParagraphFont"/>
    <w:uiPriority w:val="0"/>
    <w:qFormat/>
    <w:rPr/>
  </w:style>
  <w:style w:type="character" w:styleId="Rvts37" w:customStyle="1">
    <w:name w:val="rvts37"/>
    <w:basedOn w:val="DefaultParagraphFont"/>
    <w:uiPriority w:val="0"/>
    <w:qFormat/>
    <w:rPr/>
  </w:style>
  <w:style w:type="character" w:styleId="Style12" w:customStyle="1">
    <w:name w:val="Текст выноски Знак"/>
    <w:basedOn w:val="DefaultParagraphFont"/>
    <w:link w:val="BalloonText"/>
    <w:uiPriority w:val="99"/>
    <w:semiHidden/>
    <w:qFormat/>
    <w:rPr>
      <w:rFonts w:ascii="Tahoma" w:hAnsi="Tahoma" w:cs="Tahoma"/>
      <w:sz w:val="16"/>
      <w:szCs w:val="16"/>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BalloonText">
    <w:name w:val="Balloon Text"/>
    <w:basedOn w:val="Normal"/>
    <w:link w:val="Style12"/>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pPr>
      <w:spacing w:lineRule="auto" w:line="240" w:beforeAutospacing="1" w:afterAutospacing="1"/>
    </w:pPr>
    <w:rPr>
      <w:rFonts w:ascii="Times New Roman" w:hAnsi="Times New Roman" w:eastAsia="Times New Roman" w:cs="Times New Roman"/>
      <w:sz w:val="24"/>
      <w:szCs w:val="24"/>
    </w:rPr>
  </w:style>
  <w:style w:type="paragraph" w:styleId="Rvps7" w:customStyle="1">
    <w:name w:val="rvps7"/>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Rvps17" w:customStyle="1">
    <w:name w:val="rvps17"/>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Rvps6" w:customStyle="1">
    <w:name w:val="rvps6"/>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Rvps18" w:customStyle="1">
    <w:name w:val="rvps18"/>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Rvps2" w:customStyle="1">
    <w:name w:val="rvps2"/>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Rvps4" w:customStyle="1">
    <w:name w:val="rvps4"/>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Rvps15" w:customStyle="1">
    <w:name w:val="rvps15"/>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Rvps8" w:customStyle="1">
    <w:name w:val="rvps8"/>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Rvps14" w:customStyle="1">
    <w:name w:val="rvps14"/>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Rvps12" w:customStyle="1">
    <w:name w:val="rvps12"/>
    <w:basedOn w:val="Normal"/>
    <w:uiPriority w:val="0"/>
    <w:qFormat/>
    <w:pPr>
      <w:spacing w:lineRule="auto" w:line="240" w:beforeAutospacing="1" w:afterAutospacing="1"/>
    </w:pPr>
    <w:rPr>
      <w:rFonts w:ascii="Times New Roman" w:hAnsi="Times New Roman" w:eastAsia="Times New Roman" w:cs="Times New Roman"/>
      <w:sz w:val="24"/>
      <w:szCs w:val="24"/>
    </w:rPr>
  </w:style>
  <w:style w:type="paragraph" w:styleId="Style18">
    <w:name w:val="Вміст таблиці"/>
    <w:basedOn w:val="Normal"/>
    <w:qFormat/>
    <w:pPr>
      <w:widowControl w:val="false"/>
      <w:suppressLineNumbers/>
    </w:pPr>
    <w:rPr/>
  </w:style>
  <w:style w:type="paragraph" w:styleId="Style19">
    <w:name w:val="Заголовок таблиці"/>
    <w:basedOn w:val="Style18"/>
    <w:qFormat/>
    <w:pPr>
      <w:suppressLineNumbers/>
      <w:jc w:val="center"/>
    </w:pPr>
    <w:rPr>
      <w:b/>
      <w:bCs/>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_blank" TargetMode="External"/><Relationship Id="rId3" Type="http://schemas.openxmlformats.org/officeDocument/2006/relationships/hyperlink" Target="https://zakon.rada.gov.ua/laws/show/875-12" TargetMode="External"/><Relationship Id="rId4" Type="http://schemas.openxmlformats.org/officeDocument/2006/relationships/hyperlink" Target="https://zakon.rada.gov.ua/laws/show/5203-17" TargetMode="External"/><Relationship Id="rId5" Type="http://schemas.openxmlformats.org/officeDocument/2006/relationships/hyperlink" Target="https://zakon.rada.gov.ua/laws/show/2806-15" TargetMode="External"/><Relationship Id="rId6" Type="http://schemas.openxmlformats.org/officeDocument/2006/relationships/image" Target="media/image1.png"/><Relationship Id="rId7" Type="http://schemas.openxmlformats.org/officeDocument/2006/relationships/image" Target="media/image2.gif"/><Relationship Id="rId8" Type="http://schemas.openxmlformats.org/officeDocument/2006/relationships/hyperlink" Target="https://zakon.rada.gov.ua/laws/file/imgs/92/p405690n465-2.bmp" TargetMode="External"/><Relationship Id="rId9" Type="http://schemas.openxmlformats.org/officeDocument/2006/relationships/image" Target="media/image3.gif"/><Relationship Id="rId10" Type="http://schemas.openxmlformats.org/officeDocument/2006/relationships/hyperlink" Target="https://zakon.rada.gov.ua/laws/file/imgs/92/p405690n465-3.bmp" TargetMode="External"/><Relationship Id="rId11" Type="http://schemas.openxmlformats.org/officeDocument/2006/relationships/image" Target="media/image4.gif"/><Relationship Id="rId12" Type="http://schemas.openxmlformats.org/officeDocument/2006/relationships/hyperlink" Target="https://zakon.rada.gov.ua/laws/file/imgs/92/p405690n465-4.bmp" TargetMode="External"/><Relationship Id="rId13" Type="http://schemas.openxmlformats.org/officeDocument/2006/relationships/image" Target="media/image5.gif"/><Relationship Id="rId14" Type="http://schemas.openxmlformats.org/officeDocument/2006/relationships/hyperlink" Target="https://zakon.rada.gov.ua/laws/file/imgs/92/p405690n465-5.bmp" TargetMode="External"/><Relationship Id="rId15" Type="http://schemas.openxmlformats.org/officeDocument/2006/relationships/image" Target="media/image6.gif"/><Relationship Id="rId16" Type="http://schemas.openxmlformats.org/officeDocument/2006/relationships/hyperlink" Target="https://zakon.rada.gov.ua/laws/file/imgs/92/p405690n465-6.bmp" TargetMode="External"/><Relationship Id="rId17" Type="http://schemas.openxmlformats.org/officeDocument/2006/relationships/image" Target="media/image7.gif"/><Relationship Id="rId18" Type="http://schemas.openxmlformats.org/officeDocument/2006/relationships/hyperlink" Target="https://zakon.rada.gov.ua/laws/file/imgs/92/p405690n465-7.bmp" TargetMode="External"/><Relationship Id="rId19" Type="http://schemas.openxmlformats.org/officeDocument/2006/relationships/image" Target="media/image8.gif"/><Relationship Id="rId20" Type="http://schemas.openxmlformats.org/officeDocument/2006/relationships/hyperlink" Target="https://zakon.rada.gov.ua/laws/file/imgs/92/p405690n465-8.bmp" TargetMode="External"/><Relationship Id="rId21" Type="http://schemas.openxmlformats.org/officeDocument/2006/relationships/image" Target="media/image9.gif"/><Relationship Id="rId22" Type="http://schemas.openxmlformats.org/officeDocument/2006/relationships/hyperlink" Target="https://zakon.rada.gov.ua/laws/file/imgs/92/p405690n484-11.bmp" TargetMode="External"/><Relationship Id="rId23" Type="http://schemas.openxmlformats.org/officeDocument/2006/relationships/image" Target="media/image10.gif"/><Relationship Id="rId24" Type="http://schemas.openxmlformats.org/officeDocument/2006/relationships/hyperlink" Target="https://zakon.rada.gov.ua/laws/file/imgs/92/p405690n488-12.bmp" TargetMode="External"/><Relationship Id="rId25" Type="http://schemas.openxmlformats.org/officeDocument/2006/relationships/image" Target="media/image11.gif"/><Relationship Id="rId26" Type="http://schemas.openxmlformats.org/officeDocument/2006/relationships/hyperlink" Target="https://zakon.rada.gov.ua/laws/file/imgs/92/p405690n488-13.bmp" TargetMode="External"/><Relationship Id="rId27" Type="http://schemas.openxmlformats.org/officeDocument/2006/relationships/image" Target="media/image12.gif"/><Relationship Id="rId28" Type="http://schemas.openxmlformats.org/officeDocument/2006/relationships/hyperlink" Target="https://zakon.rada.gov.ua/laws/file/imgs/92/p405690n488-14.bmp" TargetMode="External"/><Relationship Id="rId29" Type="http://schemas.openxmlformats.org/officeDocument/2006/relationships/image" Target="media/image13.gif"/><Relationship Id="rId30" Type="http://schemas.openxmlformats.org/officeDocument/2006/relationships/hyperlink" Target="https://zakon.rada.gov.ua/laws/file/imgs/92/p405690n488-15.bmp" TargetMode="External"/><Relationship Id="rId31" Type="http://schemas.openxmlformats.org/officeDocument/2006/relationships/image" Target="media/image14.png"/><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LibreOffice/7.5.0.3$Windows_X86_64 LibreOffice_project/c21113d003cd3efa8c53188764377a8272d9d6de</Application>
  <AppVersion>15.0000</AppVersion>
  <Pages>22</Pages>
  <Words>5837</Words>
  <Characters>39323</Characters>
  <CharactersWithSpaces>44931</CharactersWithSpaces>
  <Paragraphs>274</Paragraphs>
  <Company>DMR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2024-01-08T13:21:00Z</dcterms:created>
  <dc:creator>Користувач Windows</dc:creator>
  <dc:description/>
  <dc:language>uk-UA</dc:language>
  <cp:lastModifiedBy/>
  <cp:lastPrinted>2024-04-08T16:45:28Z</cp:lastPrinted>
  <dcterms:modified xsi:type="dcterms:W3CDTF">2024-05-08T08:55:45Z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A43074872295490481EB3564FD1E758F_12</vt:lpwstr>
  </property>
  <property fmtid="{D5CDD505-2E9C-101B-9397-08002B2CF9AE}" pid="3" name="KSOProductBuildVer">
    <vt:lpwstr>1049-12.2.0.13412</vt:lpwstr>
  </property>
</Properties>
</file>