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3399"/>
        <w:gridCol w:w="5245"/>
        <w:gridCol w:w="1418"/>
      </w:tblGrid>
      <w:tr>
        <w:trPr>
          <w:trHeight w:val="645" w:hRule="auto"/>
          <w:jc w:val="left"/>
        </w:trPr>
        <w:tc>
          <w:tcPr>
            <w:tcW w:w="3399" w:type="dxa"/>
            <w:vMerge w:val="restart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2865" w:dyaOrig="2055">
                <v:rect xmlns:o="urn:schemas-microsoft-com:office:office" xmlns:v="urn:schemas-microsoft-com:vml" id="rectole0000000000" style="width:143.250000pt;height:102.75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</w:tc>
        <w:tc>
          <w:tcPr>
            <w:tcW w:w="5245" w:type="dxa"/>
            <w:tcBorders>
              <w:top w:val="single" w:color="000000" w:sz="2"/>
              <w:left w:val="single" w:color="000000" w:sz="2"/>
              <w:bottom w:val="single" w:color="000000" w:sz="5"/>
              <w:right w:val="single" w:color="000000" w:sz="5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ІНФОРМАЦІЙНА КАРТКА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АДМІНІСТРАТИВНОЇ ПОСЛУГИ</w:t>
            </w:r>
          </w:p>
        </w:tc>
        <w:tc>
          <w:tcPr>
            <w:tcW w:w="1418" w:type="dxa"/>
            <w:tcBorders>
              <w:top w:val="single" w:color="000000" w:sz="2"/>
              <w:left w:val="single" w:color="000000" w:sz="5"/>
              <w:bottom w:val="single" w:color="000000" w:sz="5"/>
              <w:right w:val="single" w:color="000000" w:sz="2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ідентифікатор послуги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00158</w:t>
            </w:r>
          </w:p>
        </w:tc>
      </w:tr>
      <w:tr>
        <w:trPr>
          <w:trHeight w:val="588" w:hRule="auto"/>
          <w:jc w:val="left"/>
        </w:trPr>
        <w:tc>
          <w:tcPr>
            <w:tcW w:w="3399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63" w:type="dxa"/>
            <w:gridSpan w:val="2"/>
            <w:tcBorders>
              <w:top w:val="single" w:color="000000" w:sz="5"/>
              <w:left w:val="single" w:color="000000" w:sz="2"/>
              <w:bottom w:val="single" w:color="000000" w:sz="5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Надання містобудівних умов та обмежень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для проектування об’єкта будівництва</w:t>
            </w:r>
          </w:p>
        </w:tc>
      </w:tr>
      <w:tr>
        <w:trPr>
          <w:trHeight w:val="685" w:hRule="auto"/>
          <w:jc w:val="left"/>
        </w:trPr>
        <w:tc>
          <w:tcPr>
            <w:tcW w:w="3399" w:type="dxa"/>
            <w:vMerge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63" w:type="dxa"/>
            <w:gridSpan w:val="2"/>
            <w:tcBorders>
              <w:top w:val="single" w:color="000000" w:sz="5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Відділ містобудування та архітектури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  <w:t xml:space="preserve">Стрийської районної державної адміністрації</w:t>
            </w:r>
          </w:p>
        </w:tc>
      </w:tr>
      <w:tr>
        <w:trPr>
          <w:trHeight w:val="1" w:hRule="atLeast"/>
          <w:jc w:val="left"/>
        </w:trPr>
        <w:tc>
          <w:tcPr>
            <w:tcW w:w="10062" w:type="dxa"/>
            <w:gridSpan w:val="3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Інформація про суб’єкта надання адміністративної послуги</w:t>
            </w:r>
          </w:p>
        </w:tc>
      </w:tr>
      <w:tr>
        <w:trPr>
          <w:trHeight w:val="1" w:hRule="atLeast"/>
          <w:jc w:val="left"/>
        </w:trPr>
        <w:tc>
          <w:tcPr>
            <w:tcW w:w="339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663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82" w:left="89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82" w:left="89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Центр надання адміністративних послуг виконавчого комітету Стрийської міської територіальної громади</w:t>
            </w:r>
          </w:p>
        </w:tc>
      </w:tr>
      <w:tr>
        <w:trPr>
          <w:trHeight w:val="1" w:hRule="atLeast"/>
          <w:jc w:val="left"/>
        </w:trPr>
        <w:tc>
          <w:tcPr>
            <w:tcW w:w="339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Місцезнаходження центру надання адміністративної послуги</w:t>
            </w:r>
          </w:p>
        </w:tc>
        <w:tc>
          <w:tcPr>
            <w:tcW w:w="6663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82" w:left="89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вулиця Тараса Шевченка, 71, м. Стрий, Львівська область, 82400, (каб.41)</w:t>
            </w:r>
          </w:p>
        </w:tc>
      </w:tr>
      <w:tr>
        <w:trPr>
          <w:trHeight w:val="1" w:hRule="atLeast"/>
          <w:jc w:val="left"/>
        </w:trPr>
        <w:tc>
          <w:tcPr>
            <w:tcW w:w="339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Інформація щодо режиму роботи суб’єкта надання адміністративної послуги </w:t>
            </w:r>
          </w:p>
        </w:tc>
        <w:tc>
          <w:tcPr>
            <w:tcW w:w="6663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82" w:left="89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Щодня з 8.00 до 17.15, п’ятниця з 8.00 до 16.00</w:t>
            </w:r>
          </w:p>
          <w:p>
            <w:pPr>
              <w:spacing w:before="0" w:after="0" w:line="240"/>
              <w:ind w:right="82" w:left="89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тел. (03245) 7-12-42, 7-13-16</w:t>
            </w:r>
          </w:p>
        </w:tc>
      </w:tr>
      <w:tr>
        <w:trPr>
          <w:trHeight w:val="1" w:hRule="atLeast"/>
          <w:jc w:val="left"/>
        </w:trPr>
        <w:tc>
          <w:tcPr>
            <w:tcW w:w="3399" w:type="dxa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Телефон/факс, адреса електронної пошти суб’єкта надання адміністративної послуги</w:t>
            </w:r>
          </w:p>
        </w:tc>
        <w:tc>
          <w:tcPr>
            <w:tcW w:w="6663" w:type="dxa"/>
            <w:gridSpan w:val="2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82" w:left="89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тел./факс (03245) 7-14-85. (03245) 7-12-59, </w:t>
            </w:r>
          </w:p>
          <w:p>
            <w:pPr>
              <w:spacing w:before="0" w:after="0" w:line="240"/>
              <w:ind w:right="82" w:left="89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e-mail: stryicnap@ukr.net</w:t>
            </w:r>
          </w:p>
        </w:tc>
      </w:tr>
      <w:tr>
        <w:trPr>
          <w:trHeight w:val="1" w:hRule="atLeast"/>
          <w:jc w:val="left"/>
        </w:trPr>
        <w:tc>
          <w:tcPr>
            <w:tcW w:w="10062" w:type="dxa"/>
            <w:gridSpan w:val="3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82" w:left="89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Умови отримання адміністративної послуги</w:t>
            </w:r>
          </w:p>
        </w:tc>
      </w:tr>
      <w:tr>
        <w:trPr>
          <w:trHeight w:val="1" w:hRule="atLeast"/>
          <w:jc w:val="left"/>
        </w:trPr>
        <w:tc>
          <w:tcPr>
            <w:tcW w:w="3399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Підстава для отримання адміністративної послуги</w:t>
            </w:r>
          </w:p>
        </w:tc>
        <w:tc>
          <w:tcPr>
            <w:tcW w:w="6663" w:type="dxa"/>
            <w:gridSpan w:val="2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82" w:left="89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Звернення фізичної або юридичної особи, яка має намір щодо забудови земельної ділянки, що перебуває у власності або користуванні такої особи, повинна одержати містобудівні умови та обмеження для проектування об’єкта будівництва.</w:t>
            </w:r>
          </w:p>
        </w:tc>
      </w:tr>
      <w:tr>
        <w:trPr>
          <w:trHeight w:val="1" w:hRule="atLeast"/>
          <w:jc w:val="left"/>
        </w:trPr>
        <w:tc>
          <w:tcPr>
            <w:tcW w:w="3399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663" w:type="dxa"/>
            <w:gridSpan w:val="2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numPr>
                <w:ilvl w:val="0"/>
                <w:numId w:val="38"/>
              </w:numPr>
              <w:spacing w:before="0" w:after="0" w:line="240"/>
              <w:ind w:right="82" w:left="449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заява замовника із зазначенням кадастрового номера земельної ділянки;</w:t>
            </w:r>
          </w:p>
          <w:p>
            <w:pPr>
              <w:numPr>
                <w:ilvl w:val="0"/>
                <w:numId w:val="38"/>
              </w:numPr>
              <w:spacing w:before="0" w:after="0" w:line="240"/>
              <w:ind w:right="82" w:left="449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копія документа, що посвідчує право власності чи користування земельною ділянкою, або копія договору суперфіцію - у разі, якщо речове право на земельну ділянку не зареєстровано в Державному реєстрі речових прав на нерухоме майно;</w:t>
            </w:r>
          </w:p>
          <w:p>
            <w:pPr>
              <w:numPr>
                <w:ilvl w:val="0"/>
                <w:numId w:val="38"/>
              </w:numPr>
              <w:spacing w:before="0" w:after="0" w:line="240"/>
              <w:ind w:right="82" w:left="449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копія документа, що посвідчує право власності на об’єкт нерухомого майна, розташований на земельній ділянці - у разі, якщо право власності на об’єкт нерухомого майна не зареєстровано в Державному реєстрі речових прав на нерухоме майно, або згода його власника, засвідчена в установленому законодавством порядку (у разі здійснення реконструкції або реставрації);</w:t>
            </w:r>
          </w:p>
          <w:p>
            <w:pPr>
              <w:numPr>
                <w:ilvl w:val="0"/>
                <w:numId w:val="38"/>
              </w:numPr>
              <w:spacing w:before="0" w:after="0" w:line="240"/>
              <w:ind w:right="82" w:left="449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викопіювання з топографо-геодезичного плану М 1:2000;</w:t>
            </w:r>
          </w:p>
          <w:p>
            <w:pPr>
              <w:spacing w:before="0" w:after="0" w:line="240"/>
              <w:ind w:right="82" w:left="89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Для отримання містобудівних умов та обмежень до заяви замовник може також додавати містобудівний розрахунок, що визначає інвестиційні наміри замовника, який складається у довільній формі з доступною та стислою інформацією про основні параметри об’єкта будівництва. Викопіювання з детального плану території, включаючи копію рішення про його затвердження.</w:t>
            </w:r>
          </w:p>
          <w:p>
            <w:pPr>
              <w:spacing w:before="0" w:after="0" w:line="240"/>
              <w:ind w:right="82" w:left="89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 випадках, визначених частиною четвертою статті 34  Закону України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 регулювання містобудівної діяльності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кадастровий номер земельної ділянки зазначається у заяві за його наявності, а копія документа, що посвідчує право власності чи користування земельною ділянкою, або копія договору суперфіцію додається до заяви за наявності.</w:t>
            </w:r>
          </w:p>
        </w:tc>
      </w:tr>
      <w:tr>
        <w:trPr>
          <w:trHeight w:val="1" w:hRule="atLeast"/>
          <w:jc w:val="left"/>
        </w:trPr>
        <w:tc>
          <w:tcPr>
            <w:tcW w:w="3399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Платність або безоплатність</w:t>
            </w:r>
          </w:p>
        </w:tc>
        <w:tc>
          <w:tcPr>
            <w:tcW w:w="6663" w:type="dxa"/>
            <w:gridSpan w:val="2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82" w:left="89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Безоплатно</w:t>
            </w:r>
          </w:p>
        </w:tc>
      </w:tr>
      <w:tr>
        <w:trPr>
          <w:trHeight w:val="1" w:hRule="atLeast"/>
          <w:jc w:val="left"/>
        </w:trPr>
        <w:tc>
          <w:tcPr>
            <w:tcW w:w="3399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Строк надання</w:t>
            </w:r>
          </w:p>
        </w:tc>
        <w:tc>
          <w:tcPr>
            <w:tcW w:w="6663" w:type="dxa"/>
            <w:gridSpan w:val="2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82" w:left="89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Протягом десяти робочих днів з дня реєстрації відповідної заяви та пакету документів.</w:t>
            </w:r>
          </w:p>
        </w:tc>
      </w:tr>
      <w:tr>
        <w:trPr>
          <w:trHeight w:val="1" w:hRule="atLeast"/>
          <w:jc w:val="left"/>
        </w:trPr>
        <w:tc>
          <w:tcPr>
            <w:tcW w:w="3399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Результат послуги</w:t>
            </w:r>
          </w:p>
        </w:tc>
        <w:tc>
          <w:tcPr>
            <w:tcW w:w="6663" w:type="dxa"/>
            <w:gridSpan w:val="2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82" w:left="89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Примірник містобудівних умов та обмежень та наказ про їх затвердження або відмова. В окремих випадках визначених законодавством: лист – підтвердження про те що для проектування  об’єкту містобудівні умови та обмеження не надаються .</w:t>
            </w:r>
          </w:p>
          <w:p>
            <w:pPr>
              <w:spacing w:before="0" w:after="0" w:line="240"/>
              <w:ind w:right="82" w:left="89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Підставами для відмови у наданні містобудівних умов та обмежень є:</w:t>
            </w:r>
          </w:p>
          <w:p>
            <w:pPr>
              <w:spacing w:before="0" w:after="0" w:line="240"/>
              <w:ind w:right="82" w:left="89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1)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неподання визначених частиною третьою цієї статті документів, необхідних для прийняття рішення про надання містобудівних умов та обмежень;</w:t>
            </w:r>
          </w:p>
          <w:p>
            <w:pPr>
              <w:spacing w:before="0" w:after="0" w:line="240"/>
              <w:ind w:right="82" w:left="89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2)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виявлення недостовірних відомостей у документах, що посвідчують право власності чи користування земельною ділянкою, або у документах, що посвідчують право власності на об’єкт нерухомого майна, розташований на земельній ділянці;</w:t>
            </w:r>
          </w:p>
          <w:p>
            <w:pPr>
              <w:spacing w:before="0" w:after="0" w:line="240"/>
              <w:ind w:right="82" w:left="89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3)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невідповідність намірів забудови вимогам містобудівної документації на місцевому рівні.</w:t>
            </w:r>
          </w:p>
        </w:tc>
      </w:tr>
      <w:tr>
        <w:trPr>
          <w:trHeight w:val="1" w:hRule="atLeast"/>
          <w:jc w:val="left"/>
        </w:trPr>
        <w:tc>
          <w:tcPr>
            <w:tcW w:w="3399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Спосіб отримання відповіді/результату послуги</w:t>
            </w:r>
          </w:p>
        </w:tc>
        <w:tc>
          <w:tcPr>
            <w:tcW w:w="6663" w:type="dxa"/>
            <w:gridSpan w:val="2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82" w:left="89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Особисто, або через представника за дорученням.</w:t>
            </w:r>
          </w:p>
        </w:tc>
      </w:tr>
      <w:tr>
        <w:trPr>
          <w:trHeight w:val="1" w:hRule="atLeast"/>
          <w:jc w:val="left"/>
        </w:trPr>
        <w:tc>
          <w:tcPr>
            <w:tcW w:w="10062" w:type="dxa"/>
            <w:gridSpan w:val="3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82" w:left="89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Нормативні акти, якими регламентується надання адміністративної послуги</w:t>
            </w:r>
          </w:p>
        </w:tc>
      </w:tr>
      <w:tr>
        <w:trPr>
          <w:trHeight w:val="1" w:hRule="atLeast"/>
          <w:jc w:val="left"/>
        </w:trPr>
        <w:tc>
          <w:tcPr>
            <w:tcW w:w="3399" w:type="dxa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0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Законодавчі акти</w:t>
            </w:r>
          </w:p>
        </w:tc>
        <w:tc>
          <w:tcPr>
            <w:tcW w:w="6663" w:type="dxa"/>
            <w:gridSpan w:val="2"/>
            <w:tcBorders>
              <w:top w:val="single" w:color="000000" w:sz="0"/>
              <w:left w:val="single" w:color="000000" w:sz="2"/>
              <w:bottom w:val="single" w:color="000000" w:sz="2"/>
              <w:right w:val="single" w:color="000000" w:sz="2"/>
            </w:tcBorders>
            <w:shd w:color="000000" w:fill="ffffff" w:val="clear"/>
            <w:tcMar>
              <w:left w:w="54" w:type="dxa"/>
              <w:right w:w="54" w:type="dxa"/>
            </w:tcMar>
            <w:vAlign w:val="top"/>
          </w:tcPr>
          <w:p>
            <w:pPr>
              <w:numPr>
                <w:ilvl w:val="0"/>
                <w:numId w:val="58"/>
              </w:numPr>
              <w:spacing w:before="0" w:after="0" w:line="240"/>
              <w:ind w:right="82" w:left="449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Закон України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 регулювання містобудівної діяльності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ст.ст.. 29, 34, п.6 Розділ V Прикінцеві положення);</w:t>
            </w:r>
          </w:p>
          <w:p>
            <w:pPr>
              <w:numPr>
                <w:ilvl w:val="0"/>
                <w:numId w:val="58"/>
              </w:numPr>
              <w:spacing w:before="0" w:after="0" w:line="240"/>
              <w:ind w:right="82" w:left="449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Наказ Міністерства регіонального розвитку, будівництва та житлово-комунального господарства України від 31.05.2017 № 135 “ Про затвердження Порядку ведення реєстру містобудівних умов та обмежень“;</w:t>
            </w:r>
          </w:p>
          <w:p>
            <w:pPr>
              <w:numPr>
                <w:ilvl w:val="0"/>
                <w:numId w:val="58"/>
              </w:numPr>
              <w:spacing w:before="0" w:after="0" w:line="240"/>
              <w:ind w:right="82" w:left="449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Наказ Міністерства регіонального розвитку, будівництва та житлово-комунального господарства України 06.11.2017  № 289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 затвердження Переліку об’єктів будівництва, для проектування яких містобудівні умови та обмеження не надаються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»;</w:t>
            </w:r>
          </w:p>
          <w:p>
            <w:pPr>
              <w:numPr>
                <w:ilvl w:val="0"/>
                <w:numId w:val="58"/>
              </w:numPr>
              <w:spacing w:before="0" w:after="0" w:line="240"/>
              <w:ind w:right="82" w:left="449" w:hanging="36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ДБН Б.2.2-12:2019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Планування та забудова територій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Начальник відділу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містобудування та архітектури </w:t>
        <w:tab/>
        <w:tab/>
        <w:tab/>
        <w:tab/>
        <w:t xml:space="preserve">    Орест ТЕЛІШЕВСЬКИЙ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38">
    <w:abstractNumId w:val="6"/>
  </w:num>
  <w:num w:numId="5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