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6379" w:hanging="0"/>
        <w:jc w:val="left"/>
        <w:rPr>
          <w:sz w:val="26"/>
          <w:szCs w:val="26"/>
          <w:lang w:val="ru-RU" w:eastAsia="uk-UA"/>
        </w:rPr>
      </w:pPr>
      <w:r>
        <w:rPr>
          <w:b/>
          <w:sz w:val="26"/>
          <w:szCs w:val="26"/>
          <w:lang w:eastAsia="uk-UA"/>
        </w:rPr>
      </w:r>
    </w:p>
    <w:p>
      <w:pPr>
        <w:pStyle w:val="Normal"/>
        <w:ind w:left="6379" w:hanging="0"/>
        <w:jc w:val="left"/>
        <w:rPr>
          <w:sz w:val="26"/>
          <w:szCs w:val="26"/>
          <w:lang w:val="ru-RU" w:eastAsia="uk-UA"/>
        </w:rPr>
      </w:pPr>
      <w:r>
        <w:rPr>
          <w:b/>
          <w:sz w:val="26"/>
          <w:szCs w:val="26"/>
          <w:lang w:eastAsia="uk-UA"/>
        </w:rPr>
      </w:r>
    </w:p>
    <w:p>
      <w:pPr>
        <w:pStyle w:val="Normal"/>
        <w:ind w:left="6379" w:hanging="0"/>
        <w:jc w:val="left"/>
        <w:rPr>
          <w:sz w:val="26"/>
          <w:szCs w:val="26"/>
          <w:lang w:val="ru-RU" w:eastAsia="uk-UA"/>
        </w:rPr>
      </w:pPr>
      <w:r>
        <w:rPr>
          <w:b/>
          <w:sz w:val="26"/>
          <w:szCs w:val="26"/>
          <w:lang w:eastAsia="uk-UA"/>
        </w:rPr>
      </w:r>
    </w:p>
    <w:p>
      <w:pPr>
        <w:pStyle w:val="Normal"/>
        <w:ind w:left="6379" w:hanging="0"/>
        <w:jc w:val="left"/>
        <w:rPr>
          <w:sz w:val="26"/>
          <w:szCs w:val="26"/>
          <w:lang w:val="ru-RU" w:eastAsia="uk-UA"/>
        </w:rPr>
      </w:pPr>
      <w:r>
        <w:rPr>
          <w:b/>
          <w:sz w:val="26"/>
          <w:szCs w:val="26"/>
          <w:lang w:eastAsia="uk-UA"/>
        </w:rPr>
      </w:r>
    </w:p>
    <w:p>
      <w:pPr>
        <w:pStyle w:val="Normal"/>
        <w:jc w:val="center"/>
        <w:rPr>
          <w:b/>
          <w:b/>
          <w:sz w:val="26"/>
          <w:szCs w:val="26"/>
          <w:lang w:eastAsia="uk-UA"/>
        </w:rPr>
      </w:pPr>
      <w:r>
        <w:rPr>
          <w:b/>
          <w:sz w:val="26"/>
          <w:szCs w:val="26"/>
          <w:lang w:eastAsia="uk-UA"/>
        </w:rPr>
        <w:t xml:space="preserve">ІНФОРМАЦІЙНА КАРТКА </w:t>
      </w:r>
    </w:p>
    <w:p>
      <w:pPr>
        <w:pStyle w:val="Normal"/>
        <w:tabs>
          <w:tab w:val="left" w:pos="3969" w:leader="none"/>
        </w:tabs>
        <w:jc w:val="center"/>
        <w:rPr>
          <w:b/>
          <w:b/>
          <w:sz w:val="26"/>
          <w:szCs w:val="26"/>
          <w:lang w:eastAsia="uk-UA"/>
        </w:rPr>
      </w:pPr>
      <w:r>
        <w:rPr>
          <w:b/>
          <w:sz w:val="26"/>
          <w:szCs w:val="26"/>
          <w:lang w:eastAsia="uk-UA"/>
        </w:rPr>
        <w:t>адміністративної послуги</w:t>
      </w:r>
    </w:p>
    <w:p>
      <w:pPr>
        <w:pStyle w:val="Normal"/>
        <w:tabs>
          <w:tab w:val="left" w:pos="3969" w:leader="none"/>
        </w:tabs>
        <w:jc w:val="center"/>
        <w:rPr>
          <w:b/>
          <w:b/>
          <w:sz w:val="26"/>
          <w:szCs w:val="26"/>
          <w:lang w:eastAsia="uk-UA"/>
        </w:rPr>
      </w:pPr>
      <w:bookmarkStart w:id="0" w:name="n12"/>
      <w:bookmarkEnd w:id="0"/>
      <w:r>
        <w:rPr>
          <w:b/>
          <w:sz w:val="26"/>
          <w:szCs w:val="26"/>
          <w:lang w:eastAsia="uk-UA"/>
        </w:rPr>
        <w:t xml:space="preserve">державна реєстрація </w:t>
      </w:r>
      <w:bookmarkStart w:id="1" w:name="n13"/>
      <w:bookmarkEnd w:id="1"/>
      <w:r>
        <w:rPr>
          <w:b/>
          <w:sz w:val="26"/>
          <w:szCs w:val="26"/>
          <w:lang w:eastAsia="uk-UA"/>
        </w:rPr>
        <w:t xml:space="preserve">іншого речового права на нерухоме майно </w:t>
      </w:r>
    </w:p>
    <w:p>
      <w:pPr>
        <w:pStyle w:val="Normal"/>
        <w:tabs>
          <w:tab w:val="left" w:pos="3969" w:leader="none"/>
        </w:tabs>
        <w:jc w:val="center"/>
        <w:rPr>
          <w:b/>
          <w:b/>
          <w:sz w:val="26"/>
          <w:szCs w:val="26"/>
          <w:lang w:eastAsia="uk-UA"/>
        </w:rPr>
      </w:pPr>
      <w:r>
        <w:rPr>
          <w:b/>
          <w:sz w:val="26"/>
          <w:szCs w:val="26"/>
          <w:lang w:eastAsia="uk-UA"/>
        </w:rPr>
        <w:t>(</w:t>
      </w:r>
      <w:r>
        <w:rPr>
          <w:b/>
          <w:sz w:val="26"/>
          <w:szCs w:val="26"/>
          <w:shd w:fill="FFFFFF" w:val="clear"/>
        </w:rPr>
        <w:t>похідного від права власності</w:t>
      </w:r>
      <w:r>
        <w:rPr>
          <w:b/>
          <w:sz w:val="26"/>
          <w:szCs w:val="26"/>
          <w:lang w:eastAsia="uk-UA"/>
        </w:rPr>
        <w:t>)  (00042)</w:t>
      </w:r>
    </w:p>
    <w:p>
      <w:pPr>
        <w:pStyle w:val="Normal"/>
        <w:jc w:val="center"/>
        <w:rPr>
          <w:rFonts w:eastAsia="Calibri"/>
          <w:b/>
          <w:b/>
          <w:bCs/>
          <w:u w:val="single"/>
        </w:rPr>
      </w:pPr>
      <w:r>
        <w:rPr>
          <w:rFonts w:eastAsia="Calibri"/>
          <w:b/>
          <w:bCs/>
          <w:u w:val="single"/>
        </w:rPr>
        <w:t xml:space="preserve">Центр надання адміністративних послуг виконавчого комітету </w:t>
      </w:r>
    </w:p>
    <w:p>
      <w:pPr>
        <w:pStyle w:val="Normal"/>
        <w:jc w:val="center"/>
        <w:rPr>
          <w:u w:val="single"/>
          <w:lang w:eastAsia="uk-UA"/>
        </w:rPr>
      </w:pPr>
      <w:r>
        <w:rPr>
          <w:rFonts w:eastAsia="Calibri"/>
          <w:b/>
          <w:bCs/>
          <w:u w:val="single"/>
        </w:rPr>
        <w:t>Стрийської міської ради</w:t>
      </w:r>
      <w:r>
        <w:rPr>
          <w:u w:val="single"/>
          <w:lang w:eastAsia="uk-UA"/>
        </w:rPr>
        <w:t xml:space="preserve"> </w:t>
      </w:r>
    </w:p>
    <w:p>
      <w:pPr>
        <w:pStyle w:val="Normal"/>
        <w:jc w:val="center"/>
        <w:rPr>
          <w:sz w:val="20"/>
          <w:szCs w:val="20"/>
          <w:lang w:eastAsia="uk-UA"/>
        </w:rPr>
      </w:pPr>
      <w:r>
        <w:rPr>
          <w:sz w:val="20"/>
          <w:szCs w:val="20"/>
          <w:lang w:eastAsia="uk-UA"/>
        </w:rPr>
      </w:r>
    </w:p>
    <w:tbl>
      <w:tblPr>
        <w:tblW w:w="4950" w:type="pct"/>
        <w:jc w:val="left"/>
        <w:tblInd w:w="61"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50" w:type="dxa"/>
          <w:bottom w:w="60" w:type="dxa"/>
          <w:right w:w="60" w:type="dxa"/>
        </w:tblCellMar>
        <w:tblLook w:val="04a0"/>
      </w:tblPr>
      <w:tblGrid>
        <w:gridCol w:w="418"/>
        <w:gridCol w:w="3138"/>
        <w:gridCol w:w="6408"/>
      </w:tblGrid>
      <w:tr>
        <w:trPr/>
        <w:tc>
          <w:tcPr>
            <w:tcW w:w="9964"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bookmarkStart w:id="2" w:name="n14"/>
            <w:bookmarkEnd w:id="2"/>
            <w:r>
              <w:rPr>
                <w:b/>
                <w:sz w:val="24"/>
                <w:szCs w:val="24"/>
                <w:lang w:eastAsia="uk-UA"/>
              </w:rPr>
              <w:t xml:space="preserve">Інформація про суб’єкта надання адміністративної послуги </w:t>
            </w:r>
          </w:p>
          <w:p>
            <w:pPr>
              <w:pStyle w:val="Normal"/>
              <w:jc w:val="center"/>
              <w:rPr>
                <w:b/>
                <w:b/>
                <w:sz w:val="24"/>
                <w:szCs w:val="24"/>
                <w:lang w:eastAsia="uk-UA"/>
              </w:rPr>
            </w:pPr>
            <w:r>
              <w:rPr>
                <w:b/>
                <w:sz w:val="24"/>
                <w:szCs w:val="24"/>
                <w:lang w:eastAsia="uk-UA"/>
              </w:rPr>
              <w:t>та/або центру надання адміністративних послуг</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Місцезнаходження </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rFonts w:eastAsia="Calibri"/>
                <w:sz w:val="24"/>
                <w:szCs w:val="24"/>
              </w:rPr>
            </w:pPr>
            <w:r>
              <w:rPr>
                <w:rFonts w:eastAsia="Calibri"/>
                <w:sz w:val="24"/>
                <w:szCs w:val="24"/>
                <w:lang w:val="ru-RU"/>
              </w:rPr>
              <w:t>82400</w:t>
            </w:r>
            <w:r>
              <w:rPr>
                <w:rFonts w:eastAsia="Calibri"/>
                <w:sz w:val="24"/>
                <w:szCs w:val="24"/>
              </w:rPr>
              <w:t>, Львівська область, м. Стрий, вул. Шевченка, 71</w:t>
            </w:r>
          </w:p>
          <w:p>
            <w:pPr>
              <w:pStyle w:val="Normal"/>
              <w:ind w:firstLine="151"/>
              <w:rPr>
                <w:i/>
                <w:i/>
                <w:sz w:val="24"/>
                <w:szCs w:val="24"/>
                <w:lang w:eastAsia="uk-UA"/>
              </w:rPr>
            </w:pPr>
            <w:r>
              <w:rPr>
                <w:i/>
                <w:sz w:val="24"/>
                <w:szCs w:val="24"/>
                <w:lang w:eastAsia="uk-UA"/>
              </w:rPr>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2</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Інформація щодо режиму роботи </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val="ru-RU"/>
              </w:rPr>
            </w:pPr>
            <w:r>
              <w:rPr>
                <w:sz w:val="24"/>
                <w:szCs w:val="24"/>
              </w:rPr>
              <w:t>понеділок, середа, четвер з 08:00 до 17:15, вівторок з 08:00 до 19:00, п’ятниця з 08:00 до 16:00, субота, неділя – вихідний день</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3</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Телефон/факс (довідки), адреса електронної пошти та веб-сайт </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rPr>
            </w:pPr>
            <w:r>
              <w:rPr>
                <w:sz w:val="24"/>
                <w:szCs w:val="24"/>
              </w:rPr>
              <w:t xml:space="preserve">тел.(03245) 7-14-85, 7-12-59, e-mail: stryicnap@ukr.net </w:t>
            </w:r>
          </w:p>
          <w:p>
            <w:pPr>
              <w:pStyle w:val="Normal"/>
              <w:rPr>
                <w:sz w:val="24"/>
                <w:szCs w:val="24"/>
              </w:rPr>
            </w:pPr>
            <w:r>
              <w:rPr>
                <w:sz w:val="24"/>
                <w:szCs w:val="24"/>
              </w:rPr>
              <w:t xml:space="preserve">Офіційний сайт Стрийської міської ради:   </w:t>
            </w:r>
          </w:p>
          <w:p>
            <w:pPr>
              <w:pStyle w:val="Normal"/>
              <w:rPr>
                <w:i/>
                <w:i/>
                <w:sz w:val="24"/>
                <w:szCs w:val="24"/>
                <w:lang w:eastAsia="uk-UA"/>
              </w:rPr>
            </w:pPr>
            <w:r>
              <w:rPr>
                <w:sz w:val="24"/>
                <w:szCs w:val="24"/>
              </w:rPr>
              <w:t>http://stryi-rada.gov.ua/</w:t>
            </w:r>
          </w:p>
        </w:tc>
      </w:tr>
      <w:tr>
        <w:trPr/>
        <w:tc>
          <w:tcPr>
            <w:tcW w:w="9964"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Нормативні акти, якими регламентується надання адміністративної послуги</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4</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Закони України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217" w:leader="none"/>
              </w:tabs>
              <w:ind w:left="0" w:firstLine="217"/>
              <w:rPr>
                <w:sz w:val="24"/>
                <w:szCs w:val="24"/>
                <w:lang w:eastAsia="uk-UA"/>
              </w:rPr>
            </w:pPr>
            <w:r>
              <w:rPr>
                <w:sz w:val="24"/>
                <w:szCs w:val="24"/>
                <w:lang w:eastAsia="uk-UA"/>
              </w:rPr>
              <w:t xml:space="preserve">Закон України «Про державну реєстрацію речових прав на нерухоме майно та їх обтяжень» </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5</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Кабінету Міністрів України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pPr>
              <w:pStyle w:val="Normal"/>
              <w:ind w:firstLine="217"/>
              <w:rPr>
                <w:sz w:val="24"/>
                <w:szCs w:val="24"/>
                <w:lang w:eastAsia="uk-UA"/>
              </w:rPr>
            </w:pPr>
            <w:r>
              <w:rPr>
                <w:sz w:val="24"/>
                <w:szCs w:val="24"/>
                <w:lang w:eastAsia="uk-UA"/>
              </w:rPr>
              <w:t>постанова Кабінету Міністрів від 26 жовтня 2011 року       № 1141 «Про затвердження Порядку ведення Державного реєстру речових прав на нерухоме майно» (зі змінами).</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6</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центральних органів виконавчої влади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0" w:leader="none"/>
              </w:tabs>
              <w:ind w:left="9" w:firstLine="217"/>
              <w:rPr>
                <w:sz w:val="24"/>
                <w:szCs w:val="24"/>
                <w:lang w:eastAsia="uk-UA"/>
              </w:rPr>
            </w:pPr>
            <w:r>
              <w:rPr>
                <w:sz w:val="24"/>
                <w:szCs w:val="24"/>
                <w:lang w:eastAsia="uk-UA"/>
              </w:rPr>
              <w:t xml:space="preserve">Наказ Міністерства юстиції України від 21 листопада </w:t>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p>
            <w:pPr>
              <w:pStyle w:val="ListParagraph"/>
              <w:tabs>
                <w:tab w:val="left" w:pos="0" w:leader="none"/>
              </w:tabs>
              <w:ind w:left="9" w:firstLine="217"/>
              <w:rPr>
                <w:sz w:val="24"/>
                <w:szCs w:val="24"/>
                <w:lang w:eastAsia="uk-UA"/>
              </w:rPr>
            </w:pPr>
            <w:r>
              <w:rPr>
                <w:sz w:val="24"/>
                <w:szCs w:val="24"/>
                <w:lang w:eastAsia="uk-UA"/>
              </w:rPr>
              <w:t>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w:t>
            </w:r>
          </w:p>
        </w:tc>
      </w:tr>
      <w:tr>
        <w:trPr/>
        <w:tc>
          <w:tcPr>
            <w:tcW w:w="9964"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Умови отримання адміністративної послуги</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7</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Підстава для отримання адміністративної послуги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96"/>
              <w:rPr>
                <w:sz w:val="24"/>
                <w:szCs w:val="24"/>
                <w:highlight w:val="yellow"/>
                <w:lang w:eastAsia="uk-UA"/>
              </w:rPr>
            </w:pPr>
            <w:r>
              <w:rPr>
                <w:sz w:val="24"/>
                <w:szCs w:val="24"/>
                <w:lang w:eastAsia="uk-UA"/>
              </w:rPr>
              <w:t xml:space="preserve">Заява заявника до </w:t>
            </w:r>
            <w:r>
              <w:rPr>
                <w:sz w:val="24"/>
                <w:szCs w:val="24"/>
              </w:rPr>
              <w:t xml:space="preserve">центру надання адміністративних послуг, або </w:t>
            </w:r>
            <w:r>
              <w:rPr>
                <w:i/>
                <w:sz w:val="24"/>
                <w:szCs w:val="24"/>
              </w:rPr>
              <w:t xml:space="preserve">шляхом подання заяви в електронній формі суб’єкту державної реєстрації прав через </w:t>
            </w:r>
            <w:r>
              <w:rPr>
                <w:i/>
                <w:color w:val="333333"/>
                <w:sz w:val="24"/>
                <w:szCs w:val="24"/>
                <w:shd w:fill="FFFFFF" w:val="clear"/>
              </w:rPr>
              <w:t>Єдиний державний веб-портал електронних послуг чи інші інформаційні системи на підставі договорів про надання сервісної послуги, укладених з технічним адміністратором Державного реєстру прав</w:t>
            </w:r>
            <w:r>
              <w:rPr>
                <w:i/>
                <w:sz w:val="22"/>
                <w:szCs w:val="22"/>
              </w:rPr>
              <w:t xml:space="preserve"> *</w:t>
            </w:r>
            <w:r>
              <w:rPr>
                <w:i/>
                <w:sz w:val="24"/>
                <w:szCs w:val="24"/>
                <w:lang w:eastAsia="uk-UA"/>
              </w:rPr>
              <w:t>.</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8</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Вичерпний перелік документів, необхідних для отримання адміністративної послуги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23"/>
              <w:rPr>
                <w:sz w:val="24"/>
                <w:szCs w:val="24"/>
                <w:lang w:eastAsia="uk-UA"/>
              </w:rPr>
            </w:pPr>
            <w:bookmarkStart w:id="3" w:name="n506"/>
            <w:bookmarkEnd w:id="3"/>
            <w:r>
              <w:rPr>
                <w:sz w:val="24"/>
                <w:szCs w:val="24"/>
                <w:lang w:eastAsia="uk-UA"/>
              </w:rPr>
              <w:t>Для державної реєстрації іншого речового права</w:t>
            </w:r>
            <w:r>
              <w:rPr>
                <w:b/>
                <w:sz w:val="26"/>
                <w:szCs w:val="26"/>
                <w:lang w:eastAsia="uk-UA"/>
              </w:rPr>
              <w:t xml:space="preserve"> </w:t>
            </w:r>
            <w:r>
              <w:rPr>
                <w:sz w:val="24"/>
                <w:szCs w:val="24"/>
                <w:lang w:eastAsia="uk-UA"/>
              </w:rPr>
              <w:t>на нерухоме майно (відмінного від права власності) подаються:</w:t>
            </w:r>
          </w:p>
          <w:p>
            <w:pPr>
              <w:pStyle w:val="Normal"/>
              <w:ind w:firstLine="223"/>
              <w:rPr>
                <w:sz w:val="24"/>
                <w:szCs w:val="24"/>
                <w:lang w:eastAsia="uk-UA"/>
              </w:rPr>
            </w:pPr>
            <w:r>
              <w:rPr>
                <w:sz w:val="24"/>
                <w:szCs w:val="24"/>
                <w:lang w:eastAsia="uk-UA"/>
              </w:rPr>
              <w:t>заява про державну реєстрацію прав та їх обтяжень (щодо іншого речового права).</w:t>
            </w:r>
          </w:p>
          <w:p>
            <w:pPr>
              <w:pStyle w:val="Normal"/>
              <w:ind w:firstLine="223"/>
              <w:rPr>
                <w:i/>
                <w:i/>
                <w:sz w:val="24"/>
                <w:szCs w:val="24"/>
                <w:lang w:eastAsia="uk-UA"/>
              </w:rPr>
            </w:pPr>
            <w:r>
              <w:rPr>
                <w:i/>
                <w:color w:val="333333"/>
                <w:sz w:val="24"/>
                <w:szCs w:val="24"/>
                <w:shd w:fill="FFFFFF" w:val="clear"/>
              </w:rPr>
              <w:t>Заява на проведення реєстраційних дій у паперовій формі подається за умови встановлення особи заявника.</w:t>
            </w:r>
          </w:p>
          <w:p>
            <w:pPr>
              <w:pStyle w:val="Normal"/>
              <w:ind w:firstLine="223"/>
              <w:rPr>
                <w:i/>
                <w:i/>
                <w:sz w:val="22"/>
                <w:szCs w:val="22"/>
                <w:lang w:eastAsia="uk-UA"/>
              </w:rPr>
            </w:pPr>
            <w:r>
              <w:rPr>
                <w:i/>
                <w:sz w:val="22"/>
                <w:szCs w:val="22"/>
                <w:lang w:eastAsia="uk-UA"/>
              </w:rPr>
              <w:t xml:space="preserve">Під час формування та реєстрації заяви </w:t>
            </w:r>
            <w:r>
              <w:rPr>
                <w:i/>
                <w:sz w:val="22"/>
                <w:szCs w:val="22"/>
                <w:lang w:val="ru-RU" w:eastAsia="uk-UA"/>
              </w:rPr>
              <w:t xml:space="preserve">адміністратор </w:t>
            </w:r>
            <w:r>
              <w:rPr>
                <w:i/>
                <w:sz w:val="24"/>
                <w:szCs w:val="24"/>
              </w:rPr>
              <w:t>центру надання адміністративних послуг</w:t>
            </w:r>
            <w:r>
              <w:rPr>
                <w:i/>
                <w:sz w:val="22"/>
                <w:szCs w:val="22"/>
                <w:lang w:eastAsia="uk-UA"/>
              </w:rPr>
              <w:t xml:space="preserve"> встановлює особу заявника.</w:t>
            </w:r>
          </w:p>
          <w:p>
            <w:pPr>
              <w:pStyle w:val="Rvps2"/>
              <w:shd w:val="clear" w:color="auto" w:fill="FFFFFF"/>
              <w:spacing w:beforeAutospacing="0" w:before="0" w:afterAutospacing="0" w:after="0"/>
              <w:ind w:firstLine="292"/>
              <w:jc w:val="both"/>
              <w:rPr/>
            </w:pPr>
            <w:r>
              <w:rPr>
                <w:i/>
                <w:color w:val="333333"/>
              </w:rPr>
              <w:t>Встановлення особи громадянина України здійснюється за паспортом громадянина України або за іншим документом, що посвідчує особу, передбаченим </w:t>
            </w:r>
            <w:hyperlink r:id="rId2">
              <w:r>
                <w:rPr>
                  <w:rStyle w:val="Style17"/>
                  <w:i/>
                  <w:color w:val="000099"/>
                </w:rPr>
                <w:t>Законом України</w:t>
              </w:r>
            </w:hyperlink>
            <w:r>
              <w:rPr>
                <w:i/>
                <w:color w:val="333333"/>
              </w:rPr>
              <w:t> "Про Єдиний державний демографічний реєстр та документи, що підтверджують громадянство України, посвідчують особу чи її спеціальний статус".</w:t>
            </w:r>
          </w:p>
          <w:p>
            <w:pPr>
              <w:pStyle w:val="Rvps2"/>
              <w:shd w:val="clear" w:color="auto" w:fill="FFFFFF"/>
              <w:spacing w:beforeAutospacing="0" w:before="0" w:afterAutospacing="0" w:after="0"/>
              <w:ind w:firstLine="292"/>
              <w:jc w:val="both"/>
              <w:rPr>
                <w:i/>
                <w:i/>
                <w:color w:val="333333"/>
              </w:rPr>
            </w:pPr>
            <w:r>
              <w:rPr>
                <w:i/>
                <w:color w:val="333333"/>
              </w:rPr>
              <w:t>Особа іноземця або особи без громадянства встановлюється за національним, дипломатичним чи службовим паспортом іноземця або іншим документом, що посвідчує особу іноземця або особи без громадянства.</w:t>
            </w:r>
          </w:p>
          <w:p>
            <w:pPr>
              <w:pStyle w:val="Normal"/>
              <w:ind w:firstLine="292"/>
              <w:rPr>
                <w:i/>
                <w:i/>
                <w:sz w:val="22"/>
                <w:szCs w:val="22"/>
                <w:lang w:eastAsia="uk-UA"/>
              </w:rPr>
            </w:pPr>
            <w:r>
              <w:rPr>
                <w:i/>
                <w:sz w:val="22"/>
                <w:szCs w:val="22"/>
                <w:lang w:eastAsia="uk-UA"/>
              </w:rPr>
              <w:t xml:space="preserve">У разі подання заяви уповноваженою на те особою </w:t>
            </w:r>
            <w:r>
              <w:rPr>
                <w:i/>
                <w:sz w:val="22"/>
                <w:szCs w:val="22"/>
                <w:lang w:val="ru-RU" w:eastAsia="uk-UA"/>
              </w:rPr>
              <w:t xml:space="preserve">адміністратор </w:t>
            </w:r>
            <w:r>
              <w:rPr>
                <w:i/>
                <w:sz w:val="24"/>
                <w:szCs w:val="24"/>
              </w:rPr>
              <w:t>центру надання адміністративних послуг</w:t>
            </w:r>
            <w:r>
              <w:rPr>
                <w:i/>
                <w:sz w:val="22"/>
                <w:szCs w:val="22"/>
                <w:lang w:eastAsia="uk-UA"/>
              </w:rPr>
              <w:t xml:space="preserve"> перевіряє обсяг повноважень такої особи на підставі документа, що підтверджує її повноваження діяти від імені іншої особи.</w:t>
            </w:r>
          </w:p>
          <w:p>
            <w:pPr>
              <w:pStyle w:val="Normal"/>
              <w:ind w:firstLine="292"/>
              <w:rPr>
                <w:i/>
                <w:i/>
                <w:sz w:val="24"/>
                <w:szCs w:val="24"/>
                <w:lang w:eastAsia="uk-UA"/>
              </w:rPr>
            </w:pPr>
            <w:r>
              <w:rPr>
                <w:i/>
                <w:sz w:val="22"/>
                <w:szCs w:val="22"/>
                <w:lang w:eastAsia="uk-UA"/>
              </w:rPr>
              <w:t xml:space="preserve">Обсяг повноважень особи, уповноваженої діяти від імені </w:t>
            </w:r>
            <w:r>
              <w:rPr>
                <w:i/>
                <w:color w:val="333333"/>
                <w:sz w:val="24"/>
                <w:szCs w:val="24"/>
                <w:shd w:fill="FFFFFF" w:val="clear"/>
              </w:rPr>
              <w:t>іншої особи, є документ, що підтверджує повноваження законного представника особи, нотаріально посвідчена довіреність або відомості з Єдиного державного реєстру юридичних осіб, фізичних осіб - підприємців та громадських формувань про особу, яка уповноважена діяти від імені юридичної особи.</w:t>
            </w:r>
          </w:p>
          <w:p>
            <w:pPr>
              <w:pStyle w:val="Rvps2"/>
              <w:shd w:val="clear" w:color="auto" w:fill="FFFFFF"/>
              <w:spacing w:beforeAutospacing="0" w:before="0" w:afterAutospacing="0" w:after="0"/>
              <w:ind w:firstLine="376"/>
              <w:jc w:val="both"/>
              <w:rPr>
                <w:i/>
                <w:i/>
                <w:color w:val="333333"/>
                <w:lang w:val="uk-UA"/>
              </w:rPr>
            </w:pPr>
            <w:bookmarkStart w:id="4" w:name="n830"/>
            <w:bookmarkEnd w:id="4"/>
            <w:r>
              <w:rPr>
                <w:i/>
                <w:color w:val="333333"/>
              </w:rPr>
              <w:t>4. Заява про проведення реєстраційних дій, надання інформації з Державного реєстру прав не приймається в разі:</w:t>
            </w:r>
          </w:p>
          <w:p>
            <w:pPr>
              <w:pStyle w:val="Rvps2"/>
              <w:shd w:val="clear" w:color="auto" w:fill="FFFFFF"/>
              <w:spacing w:beforeAutospacing="0" w:before="0" w:afterAutospacing="0" w:after="0"/>
              <w:ind w:firstLine="376"/>
              <w:jc w:val="both"/>
              <w:rPr>
                <w:i/>
                <w:i/>
                <w:color w:val="333333"/>
              </w:rPr>
            </w:pPr>
            <w:r>
              <w:rPr>
                <w:i/>
                <w:color w:val="333333"/>
              </w:rPr>
              <w:t>1) відсутності документа, що підтверджує оплату адміністративних послуг, або внесення відповідної плати не в повному обсязі;</w:t>
            </w:r>
          </w:p>
          <w:p>
            <w:pPr>
              <w:pStyle w:val="Rvps2"/>
              <w:shd w:val="clear" w:color="auto" w:fill="FFFFFF"/>
              <w:spacing w:beforeAutospacing="0" w:before="0" w:afterAutospacing="0" w:after="0"/>
              <w:ind w:firstLine="376"/>
              <w:jc w:val="both"/>
              <w:rPr>
                <w:i/>
                <w:i/>
                <w:color w:val="333333"/>
              </w:rPr>
            </w:pPr>
            <w:bookmarkStart w:id="5" w:name="n831"/>
            <w:bookmarkEnd w:id="5"/>
            <w:r>
              <w:rPr>
                <w:i/>
                <w:color w:val="333333"/>
              </w:rPr>
              <w:t>2) невстановлення особи заявника чи обсягу його повноважень на подання відповідної заяви;</w:t>
            </w:r>
          </w:p>
          <w:p>
            <w:pPr>
              <w:pStyle w:val="Rvps2"/>
              <w:shd w:val="clear" w:color="auto" w:fill="FFFFFF"/>
              <w:spacing w:beforeAutospacing="0" w:before="0" w:afterAutospacing="0" w:after="0"/>
              <w:ind w:firstLine="376"/>
              <w:jc w:val="both"/>
              <w:rPr>
                <w:i/>
                <w:i/>
                <w:color w:val="333333"/>
              </w:rPr>
            </w:pPr>
            <w:bookmarkStart w:id="6" w:name="n832"/>
            <w:bookmarkEnd w:id="6"/>
            <w:r>
              <w:rPr>
                <w:i/>
                <w:color w:val="333333"/>
              </w:rPr>
              <w:t>3) відсутності в Державному земельному кадастрі відомостей про земельну ділянку (у разі державної реєстрації прав на земельну ділянку).</w:t>
            </w:r>
          </w:p>
          <w:p>
            <w:pPr>
              <w:pStyle w:val="Normal"/>
              <w:ind w:firstLine="223"/>
              <w:rPr>
                <w:sz w:val="24"/>
                <w:szCs w:val="24"/>
                <w:lang w:eastAsia="uk-UA"/>
              </w:rPr>
            </w:pPr>
            <w:r>
              <w:rPr>
                <w:sz w:val="24"/>
                <w:szCs w:val="24"/>
                <w:lang w:eastAsia="uk-UA"/>
              </w:rPr>
            </w:r>
          </w:p>
          <w:p>
            <w:pPr>
              <w:pStyle w:val="Normal"/>
              <w:ind w:firstLine="223"/>
              <w:rPr>
                <w:sz w:val="24"/>
                <w:szCs w:val="24"/>
                <w:lang w:eastAsia="uk-UA"/>
              </w:rPr>
            </w:pPr>
            <w:r>
              <w:rPr>
                <w:sz w:val="24"/>
                <w:szCs w:val="24"/>
                <w:lang w:eastAsia="uk-UA"/>
              </w:rPr>
              <w:t xml:space="preserve">документ, що підтверджує сплату адміністративного збору або документ, що підтверджує право на звільнення від сплати адміністративного збору за державну реєстрацію прав </w:t>
            </w:r>
            <w:r>
              <w:rPr>
                <w:i/>
                <w:sz w:val="22"/>
                <w:szCs w:val="22"/>
                <w:lang w:eastAsia="uk-UA"/>
              </w:rPr>
              <w:t>(для осіб, визначених статтею 34 Закону України «Про державну реєстрацію речових прав на нерухоме майно та їх обтяжень»)</w:t>
            </w:r>
            <w:r>
              <w:rPr>
                <w:sz w:val="24"/>
                <w:szCs w:val="24"/>
                <w:lang w:eastAsia="uk-UA"/>
              </w:rPr>
              <w:t>;</w:t>
            </w:r>
          </w:p>
          <w:p>
            <w:pPr>
              <w:pStyle w:val="Normal"/>
              <w:ind w:firstLine="223"/>
              <w:rPr>
                <w:sz w:val="24"/>
                <w:szCs w:val="24"/>
                <w:lang w:eastAsia="uk-UA"/>
              </w:rPr>
            </w:pPr>
            <w:r>
              <w:rPr>
                <w:sz w:val="24"/>
                <w:szCs w:val="24"/>
                <w:lang w:eastAsia="uk-UA"/>
              </w:rPr>
            </w:r>
          </w:p>
          <w:p>
            <w:pPr>
              <w:pStyle w:val="Normal"/>
              <w:ind w:firstLine="223"/>
              <w:rPr>
                <w:sz w:val="24"/>
                <w:szCs w:val="24"/>
                <w:lang w:eastAsia="uk-UA"/>
              </w:rPr>
            </w:pPr>
            <w:r>
              <w:rPr>
                <w:sz w:val="24"/>
                <w:szCs w:val="24"/>
                <w:lang w:eastAsia="uk-UA"/>
              </w:rPr>
              <w:t>документи, необхідні для відповідної реєстрації, передбачені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p>
          <w:p>
            <w:pPr>
              <w:pStyle w:val="Normal"/>
              <w:ind w:firstLine="223"/>
              <w:rPr>
                <w:sz w:val="24"/>
                <w:szCs w:val="24"/>
                <w:lang w:eastAsia="uk-UA"/>
              </w:rPr>
            </w:pPr>
            <w:r>
              <w:rPr>
                <w:sz w:val="24"/>
                <w:szCs w:val="24"/>
                <w:lang w:eastAsia="uk-UA"/>
              </w:rPr>
            </w:r>
          </w:p>
          <w:p>
            <w:pPr>
              <w:pStyle w:val="Normal"/>
              <w:ind w:firstLine="223"/>
              <w:rPr>
                <w:sz w:val="24"/>
                <w:szCs w:val="24"/>
                <w:lang w:eastAsia="uk-UA"/>
              </w:rPr>
            </w:pPr>
            <w:bookmarkStart w:id="7" w:name="n507"/>
            <w:bookmarkEnd w:id="7"/>
            <w:r>
              <w:rPr>
                <w:sz w:val="24"/>
                <w:szCs w:val="24"/>
                <w:lang w:eastAsia="uk-UA"/>
              </w:rPr>
              <w:t>У випадках, передбачених Законом України «Про державну реєстрацію речових прав на нерухоме майно та їх обтяжень», Порядком державної реєстрації прав на нерухоме майно та їх обтяжень, затвердженим постановою Кабінету Міністрів України від 25 грудня 2015 року № 1127 (зі змінами), додатково подаються інші документи</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9</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Спосіб подання документів, необхідних для отримання адміністративної послуги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1. У паперовій формі документи подаються заявником особисто або уповноваженою ним особою.</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 xml:space="preserve">2. В </w:t>
            </w:r>
            <w:r>
              <w:rPr>
                <w:sz w:val="24"/>
                <w:szCs w:val="24"/>
                <w:lang w:eastAsia="uk-UA"/>
              </w:rPr>
              <w:t>електронній формі д</w:t>
            </w:r>
            <w:r>
              <w:rPr>
                <w:sz w:val="24"/>
                <w:szCs w:val="24"/>
              </w:rPr>
              <w:t>окументи</w:t>
            </w:r>
            <w:r>
              <w:rPr>
                <w:sz w:val="24"/>
                <w:szCs w:val="24"/>
                <w:lang w:eastAsia="uk-UA"/>
              </w:rPr>
              <w:t xml:space="preserve"> подаються </w:t>
            </w:r>
            <w:r>
              <w:rPr>
                <w:sz w:val="24"/>
                <w:szCs w:val="24"/>
              </w:rPr>
              <w:t>через портал електронних сервісів у разі державної реєстрації речових прав, похідних від права власності), – за заявою власника, іншого правонабувача, сторони правочину, у яких виникло речове право.</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lang w:eastAsia="uk-UA"/>
              </w:rPr>
            </w:pPr>
            <w:r>
              <w:rPr>
                <w:i/>
                <w:sz w:val="22"/>
                <w:szCs w:val="22"/>
                <w:lang w:eastAsia="uk-UA"/>
              </w:rPr>
              <w:t>Заява та документи в електронній формі подаються з обов’язковим накладенням заявником власного електронного цифрового підпису та за умови сплати адміністративного збору за державну реєстрацію прав через Інтернет з використанням платіжних систем (крім випадків звільнення особи від плати).</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10</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Платність (безоплатність) надання адміністративної послуги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11</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Строк надання адміністративної послуги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Державна реєстрація іншого речового права на нерухоме майно (відмінного від права власності) проводиться у строк, що не перевищує п’яти робочих днів з дня реєстрації відповідної заяви в Державному реєстрі речових прав на  нерухоме майно.</w:t>
            </w:r>
          </w:p>
          <w:p>
            <w:pPr>
              <w:pStyle w:val="Normal"/>
              <w:ind w:firstLine="217"/>
              <w:rPr>
                <w:sz w:val="24"/>
                <w:szCs w:val="24"/>
                <w:lang w:eastAsia="uk-UA"/>
              </w:rPr>
            </w:pPr>
            <w:r>
              <w:rPr>
                <w:sz w:val="24"/>
                <w:szCs w:val="24"/>
                <w:lang w:eastAsia="uk-UA"/>
              </w:rPr>
              <w:t>Скорочені строки проведення державної реєстрації інших речових прав, відмінних від права власності:</w:t>
            </w:r>
          </w:p>
          <w:p>
            <w:pPr>
              <w:pStyle w:val="Normal"/>
              <w:ind w:firstLine="217"/>
              <w:rPr>
                <w:sz w:val="24"/>
                <w:szCs w:val="24"/>
                <w:lang w:eastAsia="uk-UA"/>
              </w:rPr>
            </w:pPr>
            <w:r>
              <w:rPr>
                <w:sz w:val="24"/>
                <w:szCs w:val="24"/>
                <w:lang w:eastAsia="uk-UA"/>
              </w:rPr>
              <w:t>2 робочі дні;</w:t>
            </w:r>
          </w:p>
          <w:p>
            <w:pPr>
              <w:pStyle w:val="Normal"/>
              <w:ind w:firstLine="217"/>
              <w:rPr>
                <w:sz w:val="24"/>
                <w:szCs w:val="24"/>
                <w:lang w:eastAsia="uk-UA"/>
              </w:rPr>
            </w:pPr>
            <w:r>
              <w:rPr>
                <w:sz w:val="24"/>
                <w:szCs w:val="24"/>
                <w:lang w:eastAsia="uk-UA"/>
              </w:rPr>
              <w:t>1 робочий день;</w:t>
            </w:r>
          </w:p>
          <w:p>
            <w:pPr>
              <w:pStyle w:val="Normal"/>
              <w:ind w:firstLine="217"/>
              <w:rPr>
                <w:sz w:val="24"/>
                <w:szCs w:val="24"/>
              </w:rPr>
            </w:pPr>
            <w:r>
              <w:rPr>
                <w:sz w:val="24"/>
                <w:szCs w:val="24"/>
                <w:lang w:eastAsia="uk-UA"/>
              </w:rPr>
              <w:t>2 години.</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12</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зупинення розгляду документів, поданих для державної реєстрації</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0" w:leader="none"/>
              </w:tabs>
              <w:ind w:firstLine="217"/>
              <w:rPr>
                <w:sz w:val="24"/>
                <w:szCs w:val="24"/>
              </w:rPr>
            </w:pPr>
            <w:bookmarkStart w:id="8" w:name="o545"/>
            <w:bookmarkStart w:id="9" w:name="o625"/>
            <w:bookmarkStart w:id="10" w:name="o371"/>
            <w:bookmarkEnd w:id="8"/>
            <w:bookmarkEnd w:id="9"/>
            <w:bookmarkEnd w:id="10"/>
            <w:r>
              <w:rPr>
                <w:sz w:val="24"/>
                <w:szCs w:val="24"/>
              </w:rPr>
              <w:t>1) подання документів для державної реєстрації прав не в повному обсязі, передбаченому законодавством;</w:t>
            </w:r>
          </w:p>
          <w:p>
            <w:pPr>
              <w:pStyle w:val="Normal"/>
              <w:tabs>
                <w:tab w:val="left" w:pos="0" w:leader="none"/>
                <w:tab w:val="left" w:pos="343" w:leader="none"/>
              </w:tabs>
              <w:ind w:firstLine="217"/>
              <w:rPr>
                <w:sz w:val="24"/>
                <w:szCs w:val="24"/>
              </w:rPr>
            </w:pPr>
            <w:r>
              <w:rPr>
                <w:sz w:val="24"/>
                <w:szCs w:val="24"/>
              </w:rPr>
              <w:t xml:space="preserve">2) </w:t>
            </w:r>
            <w:r>
              <w:rPr>
                <w:color w:val="333333"/>
                <w:sz w:val="24"/>
                <w:szCs w:val="24"/>
                <w:shd w:fill="FFFFFF" w:val="clear"/>
              </w:rPr>
              <w:t>неподання заявником чи неотримання державним реєстратором у порядку, визначеному цим Законом, відомостей реєстрів (кадастрів), автоматизованих інформаційних систем в електронній формі чи документів із паперових носіїв інформації, що містять відомості про зареєстровані речові права до 1 січня 2013 року</w:t>
            </w:r>
            <w:r>
              <w:rPr>
                <w:sz w:val="24"/>
                <w:szCs w:val="24"/>
              </w:rPr>
              <w:t>;</w:t>
            </w:r>
          </w:p>
          <w:p>
            <w:pPr>
              <w:pStyle w:val="Normal"/>
              <w:tabs>
                <w:tab w:val="left" w:pos="0" w:leader="none"/>
              </w:tabs>
              <w:ind w:firstLine="217"/>
              <w:rPr>
                <w:sz w:val="24"/>
                <w:szCs w:val="24"/>
              </w:rPr>
            </w:pPr>
            <w:r>
              <w:rPr>
                <w:sz w:val="24"/>
                <w:szCs w:val="24"/>
              </w:rPr>
              <w:t>3) направлення запиту до суду про отримання копії рішення суду</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13</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відмови у державній реєстрації</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Rvps2"/>
              <w:shd w:val="clear" w:color="auto" w:fill="FFFFFF"/>
              <w:spacing w:beforeAutospacing="0" w:before="0" w:afterAutospacing="0" w:after="0"/>
              <w:ind w:firstLine="450"/>
              <w:jc w:val="both"/>
              <w:rPr>
                <w:color w:val="333333"/>
              </w:rPr>
            </w:pPr>
            <w:r>
              <w:rPr>
                <w:color w:val="333333"/>
              </w:rPr>
              <w:t>1) заявлене речове право, обтяження не підлягають державній реєстрації відповідно до цього Закону;</w:t>
            </w:r>
          </w:p>
          <w:p>
            <w:pPr>
              <w:pStyle w:val="Rvps2"/>
              <w:shd w:val="clear" w:color="auto" w:fill="FFFFFF"/>
              <w:spacing w:beforeAutospacing="0" w:before="0" w:afterAutospacing="0" w:after="0"/>
              <w:ind w:firstLine="450"/>
              <w:jc w:val="both"/>
              <w:rPr>
                <w:color w:val="333333"/>
              </w:rPr>
            </w:pPr>
            <w:bookmarkStart w:id="11" w:name="n259"/>
            <w:bookmarkEnd w:id="11"/>
            <w:r>
              <w:rPr>
                <w:color w:val="333333"/>
              </w:rPr>
              <w:t>2) заява про державну реєстрацію прав подана неналежною особою;</w:t>
            </w:r>
          </w:p>
          <w:p>
            <w:pPr>
              <w:pStyle w:val="Rvps2"/>
              <w:shd w:val="clear" w:color="auto" w:fill="FFFFFF"/>
              <w:spacing w:beforeAutospacing="0" w:before="0" w:afterAutospacing="0" w:after="0"/>
              <w:ind w:firstLine="450"/>
              <w:jc w:val="both"/>
              <w:rPr>
                <w:color w:val="333333"/>
              </w:rPr>
            </w:pPr>
            <w:bookmarkStart w:id="12" w:name="n260"/>
            <w:bookmarkEnd w:id="12"/>
            <w:r>
              <w:rPr>
                <w:color w:val="333333"/>
              </w:rPr>
              <w:t>3) подані документи не відповідають вимогам, встановленим цим Законом;</w:t>
            </w:r>
          </w:p>
          <w:p>
            <w:pPr>
              <w:pStyle w:val="Rvps2"/>
              <w:shd w:val="clear" w:color="auto" w:fill="FFFFFF"/>
              <w:spacing w:beforeAutospacing="0" w:before="0" w:afterAutospacing="0" w:after="0"/>
              <w:ind w:firstLine="450"/>
              <w:jc w:val="both"/>
              <w:rPr>
                <w:color w:val="333333"/>
              </w:rPr>
            </w:pPr>
            <w:bookmarkStart w:id="13" w:name="n261"/>
            <w:bookmarkEnd w:id="13"/>
            <w:r>
              <w:rPr>
                <w:color w:val="333333"/>
              </w:rPr>
              <w:t>4) подані документи не дають змоги встановити набуття, зміну або припинення речових прав на нерухоме майно та їх обтяження;</w:t>
            </w:r>
          </w:p>
          <w:p>
            <w:pPr>
              <w:pStyle w:val="Rvps2"/>
              <w:shd w:val="clear" w:color="auto" w:fill="FFFFFF"/>
              <w:spacing w:beforeAutospacing="0" w:before="0" w:afterAutospacing="0" w:after="0"/>
              <w:ind w:firstLine="450"/>
              <w:jc w:val="both"/>
              <w:rPr>
                <w:color w:val="333333"/>
              </w:rPr>
            </w:pPr>
            <w:bookmarkStart w:id="14" w:name="n262"/>
            <w:bookmarkEnd w:id="14"/>
            <w:r>
              <w:rPr>
                <w:color w:val="333333"/>
              </w:rPr>
              <w:t>5) наявні суперечності між заявленими та вже зареєстрованими речовими правами на нерухоме майно та їх обтяженнями;</w:t>
            </w:r>
          </w:p>
          <w:p>
            <w:pPr>
              <w:pStyle w:val="Rvps2"/>
              <w:shd w:val="clear" w:color="auto" w:fill="FFFFFF"/>
              <w:spacing w:beforeAutospacing="0" w:before="0" w:afterAutospacing="0" w:after="0"/>
              <w:ind w:firstLine="450"/>
              <w:jc w:val="both"/>
              <w:rPr>
                <w:color w:val="333333"/>
              </w:rPr>
            </w:pPr>
            <w:bookmarkStart w:id="15" w:name="n263"/>
            <w:bookmarkEnd w:id="15"/>
            <w:r>
              <w:rPr>
                <w:color w:val="333333"/>
              </w:rPr>
              <w:t>6) наявні зареєстровані обтяження речових прав на нерухоме майно;</w:t>
            </w:r>
          </w:p>
          <w:p>
            <w:pPr>
              <w:pStyle w:val="Rvps2"/>
              <w:shd w:val="clear" w:color="auto" w:fill="FFFFFF"/>
              <w:spacing w:beforeAutospacing="0" w:before="0" w:afterAutospacing="0" w:after="0"/>
              <w:ind w:firstLine="450"/>
              <w:jc w:val="both"/>
              <w:rPr>
                <w:color w:val="333333"/>
              </w:rPr>
            </w:pPr>
            <w:bookmarkStart w:id="16" w:name="n264"/>
            <w:bookmarkEnd w:id="16"/>
            <w:r>
              <w:rPr>
                <w:color w:val="333333"/>
              </w:rPr>
              <w:t>7) заяву про державну реєстрацію обтяжень щодо попереднього правонабувача подано після державної реєстрації права власності на таке майно за новим правонабувачем;</w:t>
            </w:r>
          </w:p>
          <w:p>
            <w:pPr>
              <w:pStyle w:val="Rvps2"/>
              <w:shd w:val="clear" w:color="auto" w:fill="FFFFFF"/>
              <w:spacing w:beforeAutospacing="0" w:before="0" w:afterAutospacing="0" w:after="0"/>
              <w:ind w:firstLine="450"/>
              <w:jc w:val="both"/>
              <w:rPr/>
            </w:pPr>
            <w:bookmarkStart w:id="17" w:name="n265"/>
            <w:bookmarkEnd w:id="17"/>
            <w:r>
              <w:rPr>
                <w:color w:val="333333"/>
              </w:rPr>
              <w:t>8) після завершення строку, встановленого </w:t>
            </w:r>
            <w:r>
              <w:fldChar w:fldCharType="begin"/>
            </w:r>
            <w:r>
              <w:instrText> HYPERLINK "https://zakon.rada.gov.ua/laws/show/1952-15/conv" \l "n251"</w:instrText>
            </w:r>
            <w:r>
              <w:fldChar w:fldCharType="separate"/>
            </w:r>
            <w:r>
              <w:rPr>
                <w:rStyle w:val="Style17"/>
                <w:color w:val="006600"/>
              </w:rPr>
              <w:t>частиною третьою</w:t>
            </w:r>
            <w:r>
              <w:fldChar w:fldCharType="end"/>
            </w:r>
            <w:r>
              <w:rPr>
                <w:color w:val="333333"/>
              </w:rPr>
              <w:t> статті 23 цього Закону, не усунені обставини, що були підставою для прийняття рішення про зупинення розгляду заяви про державну реєстрацію прав;</w:t>
            </w:r>
          </w:p>
          <w:p>
            <w:pPr>
              <w:pStyle w:val="Rvps2"/>
              <w:shd w:val="clear" w:color="auto" w:fill="FFFFFF"/>
              <w:spacing w:beforeAutospacing="0" w:before="0" w:afterAutospacing="0" w:after="0"/>
              <w:ind w:firstLine="450"/>
              <w:jc w:val="both"/>
              <w:rPr>
                <w:color w:val="333333"/>
              </w:rPr>
            </w:pPr>
            <w:bookmarkStart w:id="18" w:name="n266"/>
            <w:bookmarkEnd w:id="18"/>
            <w:r>
              <w:rPr>
                <w:color w:val="333333"/>
              </w:rPr>
              <w:t>9) документи подано до неналежного суб’єкта державної реєстрації прав, нотаріуса;</w:t>
            </w:r>
          </w:p>
          <w:p>
            <w:pPr>
              <w:pStyle w:val="Rvps2"/>
              <w:shd w:val="clear" w:color="auto" w:fill="FFFFFF"/>
              <w:spacing w:beforeAutospacing="0" w:before="0" w:afterAutospacing="0" w:after="0"/>
              <w:ind w:firstLine="450"/>
              <w:jc w:val="both"/>
              <w:rPr>
                <w:color w:val="333333"/>
              </w:rPr>
            </w:pPr>
            <w:bookmarkStart w:id="19" w:name="n267"/>
            <w:bookmarkStart w:id="20" w:name="n761"/>
            <w:bookmarkEnd w:id="19"/>
            <w:bookmarkEnd w:id="20"/>
            <w:r>
              <w:rPr>
                <w:color w:val="333333"/>
              </w:rPr>
              <w:t>10) заяву про державну реєстрацію прав та їх обтяжень в електронній формі подано особою, яка згідно із законодавством не має повноважень подавати заяви в електронній формі;</w:t>
            </w:r>
          </w:p>
          <w:p>
            <w:pPr>
              <w:pStyle w:val="Rvps2"/>
              <w:shd w:val="clear" w:color="auto" w:fill="FFFFFF"/>
              <w:spacing w:beforeAutospacing="0" w:before="0" w:afterAutospacing="0" w:after="0"/>
              <w:ind w:firstLine="450"/>
              <w:jc w:val="both"/>
              <w:rPr>
                <w:color w:val="333333"/>
              </w:rPr>
            </w:pPr>
            <w:bookmarkStart w:id="21" w:name="n268"/>
            <w:bookmarkEnd w:id="21"/>
            <w:r>
              <w:rPr>
                <w:color w:val="333333"/>
              </w:rPr>
              <w:t>11) заявником подано ті самі документи, на підставі яких заявлене речове право, обтяження вже зареєстровано у Державному реєстрі прав;</w:t>
            </w:r>
          </w:p>
          <w:p>
            <w:pPr>
              <w:pStyle w:val="Normal"/>
              <w:tabs>
                <w:tab w:val="left" w:pos="1565" w:leader="none"/>
              </w:tabs>
              <w:ind w:firstLine="217"/>
              <w:rPr>
                <w:i/>
                <w:i/>
                <w:sz w:val="22"/>
                <w:szCs w:val="22"/>
                <w:lang w:eastAsia="uk-UA"/>
              </w:rPr>
            </w:pPr>
            <w:bookmarkStart w:id="22" w:name="n487"/>
            <w:bookmarkEnd w:id="22"/>
            <w:r>
              <w:rPr>
                <w:i/>
                <w:sz w:val="22"/>
                <w:szCs w:val="22"/>
                <w:lang w:eastAsia="uk-UA"/>
              </w:rPr>
              <w:t>Рішення про відмову в державній реєстрації прав повинно містити вичерпний перелік обставин, що стали підставою для його прийняття</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14</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Результат надання адміністративної послуги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358" w:leader="none"/>
              </w:tabs>
              <w:ind w:firstLine="217"/>
              <w:rPr>
                <w:sz w:val="24"/>
                <w:szCs w:val="24"/>
                <w:lang w:eastAsia="uk-UA"/>
              </w:rPr>
            </w:pPr>
            <w:bookmarkStart w:id="23" w:name="o638"/>
            <w:bookmarkEnd w:id="23"/>
            <w:r>
              <w:rPr>
                <w:sz w:val="24"/>
                <w:szCs w:val="24"/>
              </w:rPr>
              <w:t xml:space="preserve">Внесення відповідного запису до Державного реєстру речових прав на нерухоме майно та отримання витягу з Державного реєстру речових прав на нерухоме майно про проведену державну реєстрацію прав </w:t>
            </w:r>
            <w:r>
              <w:rPr>
                <w:sz w:val="24"/>
                <w:szCs w:val="24"/>
                <w:lang w:eastAsia="uk-UA"/>
              </w:rPr>
              <w:t>в паперовій (за бажанням заявника) чи електронній формі.</w:t>
            </w:r>
          </w:p>
          <w:p>
            <w:pPr>
              <w:pStyle w:val="Normal"/>
              <w:tabs>
                <w:tab w:val="left" w:pos="358" w:leader="none"/>
              </w:tabs>
              <w:ind w:firstLine="217"/>
              <w:rPr>
                <w:sz w:val="24"/>
                <w:szCs w:val="24"/>
                <w:lang w:eastAsia="uk-UA"/>
              </w:rPr>
            </w:pPr>
            <w:r>
              <w:rPr>
                <w:sz w:val="24"/>
                <w:szCs w:val="24"/>
                <w:lang w:eastAsia="uk-UA"/>
              </w:rPr>
              <w:t>Рішення про відмову у державній реєстрації іншого речового права на нерухоме майно (відмінного від права власності).</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15</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Способи отримання відповіді (результату)</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358" w:leader="none"/>
              </w:tabs>
              <w:ind w:left="0" w:firstLine="217"/>
              <w:rPr>
                <w:i/>
                <w:i/>
                <w:sz w:val="22"/>
                <w:szCs w:val="22"/>
              </w:rPr>
            </w:pPr>
            <w:r>
              <w:rPr>
                <w:i/>
                <w:sz w:val="22"/>
                <w:szCs w:val="22"/>
              </w:rPr>
              <w:t>Результати надання адміністративної послуги у сфері державної реєстрації оприлюднюються на веб-порталі Мін’юсту для доступу до неї заявника з метою її перегляду*.</w:t>
            </w:r>
          </w:p>
          <w:p>
            <w:pPr>
              <w:pStyle w:val="ListParagraph"/>
              <w:tabs>
                <w:tab w:val="left" w:pos="358" w:leader="none"/>
              </w:tabs>
              <w:ind w:left="0" w:firstLine="217"/>
              <w:rPr>
                <w:sz w:val="24"/>
                <w:szCs w:val="24"/>
              </w:rPr>
            </w:pPr>
            <w:r>
              <w:rPr>
                <w:sz w:val="24"/>
                <w:szCs w:val="24"/>
              </w:rPr>
              <w:t>Витяг з Державного реєстру речових прав на нерухоме майно за бажанням заявника може бути отриманий у паперовій формі.</w:t>
            </w:r>
          </w:p>
          <w:p>
            <w:pPr>
              <w:pStyle w:val="ListParagraph"/>
              <w:tabs>
                <w:tab w:val="left" w:pos="358" w:leader="none"/>
              </w:tabs>
              <w:ind w:left="0" w:firstLine="217"/>
              <w:rPr>
                <w:sz w:val="24"/>
                <w:szCs w:val="24"/>
                <w:lang w:eastAsia="uk-UA"/>
              </w:rPr>
            </w:pPr>
            <w:r>
              <w:rPr>
                <w:sz w:val="24"/>
                <w:szCs w:val="24"/>
              </w:rPr>
              <w:t>Рішення про відмову у проведенні державної реєстрації іншого (відмінного від права власності) речового права на нерухоме майно за бажанням заявника може бути отримане у паперовій формі</w:t>
            </w:r>
          </w:p>
        </w:tc>
      </w:tr>
    </w:tbl>
    <w:p>
      <w:pPr>
        <w:pStyle w:val="Normal"/>
        <w:rPr/>
      </w:pPr>
      <w:bookmarkStart w:id="24" w:name="n43"/>
      <w:bookmarkStart w:id="25" w:name="n43"/>
      <w:bookmarkEnd w:id="25"/>
      <w:r>
        <w:rPr/>
      </w:r>
    </w:p>
    <w:p>
      <w:pPr>
        <w:pStyle w:val="ListParagraph"/>
        <w:rPr/>
      </w:pPr>
      <w:r>
        <w:rPr/>
        <w:t>*</w:t>
      </w:r>
      <w:r>
        <w:rPr>
          <w:i/>
          <w:sz w:val="24"/>
          <w:szCs w:val="24"/>
        </w:rPr>
        <w:t>Після запровадження сервісу.</w:t>
      </w:r>
    </w:p>
    <w:p>
      <w:pPr>
        <w:pStyle w:val="ListParagraph"/>
        <w:rPr/>
      </w:pPr>
      <w:r>
        <w:rPr/>
      </w:r>
    </w:p>
    <w:p>
      <w:pPr>
        <w:pStyle w:val="Normal"/>
        <w:ind w:firstLine="567"/>
        <w:rPr/>
      </w:pPr>
      <w:r>
        <w:rPr>
          <w:bCs/>
        </w:rPr>
        <w:t>Керуюча справами виконкому</w:t>
        <w:tab/>
        <w:tab/>
        <w:tab/>
        <w:tab/>
        <w:t xml:space="preserve">                  </w:t>
      </w:r>
      <w:r>
        <w:rPr>
          <w:bCs/>
          <w:lang w:val="ru-RU"/>
        </w:rPr>
        <w:t xml:space="preserve">  </w:t>
      </w:r>
      <w:r>
        <w:rPr>
          <w:bCs/>
        </w:rPr>
        <w:t>Затварницька О.М.</w:t>
      </w:r>
    </w:p>
    <w:p>
      <w:pPr>
        <w:pStyle w:val="Normal"/>
        <w:rPr/>
      </w:pPr>
      <w:r>
        <w:rPr/>
      </w:r>
    </w:p>
    <w:sectPr>
      <w:headerReference w:type="default" r:id="rId3"/>
      <w:type w:val="nextPage"/>
      <w:pgSz w:w="11906" w:h="16838"/>
      <w:pgMar w:left="1134" w:right="707" w:header="426" w:top="709" w:footer="0" w:bottom="851" w:gutter="0"/>
      <w:pgNumType w:start="1" w:fmt="decimal"/>
      <w:formProt w:val="false"/>
      <w:titlePg/>
      <w:textDirection w:val="lrTb"/>
      <w:docGrid w:type="default" w:linePitch="381"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sz w:val="24"/>
        <w:szCs w:val="24"/>
      </w:rPr>
      <w:fldChar w:fldCharType="begin"/>
    </w:r>
    <w:r>
      <w:instrText> PAGE </w:instrText>
    </w:r>
    <w:r>
      <w:fldChar w:fldCharType="separate"/>
    </w:r>
    <w:r>
      <w:t>0</w:t>
    </w:r>
    <w:r>
      <w:fldChar w:fldCharType="end"/>
    </w:r>
  </w:p>
  <w:p>
    <w:pPr>
      <w:pStyle w:val="Style23"/>
      <w:rPr/>
    </w:pPr>
    <w:r>
      <w:rPr/>
    </w:r>
  </w:p>
</w:hdr>
</file>

<file path=word/settings.xml><?xml version="1.0" encoding="utf-8"?>
<w:settings xmlns:w="http://schemas.openxmlformats.org/wordprocessingml/2006/main">
  <w:zoom w:percent="100"/>
  <w:defaultTabStop w:val="709"/>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03e60"/>
    <w:pPr>
      <w:widowControl/>
      <w:bidi w:val="0"/>
      <w:spacing w:lineRule="auto" w:line="240" w:before="0" w:after="0"/>
      <w:jc w:val="both"/>
    </w:pPr>
    <w:rPr>
      <w:rFonts w:ascii="Times New Roman" w:hAnsi="Times New Roman" w:eastAsia="Times New Roman" w:cs="Times New Roman"/>
      <w:color w:val="auto"/>
      <w:sz w:val="28"/>
      <w:szCs w:val="28"/>
      <w:lang w:val="uk-UA"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4"/>
    <w:uiPriority w:val="99"/>
    <w:qFormat/>
    <w:rsid w:val="00f03e60"/>
    <w:rPr>
      <w:rFonts w:ascii="Times New Roman" w:hAnsi="Times New Roman" w:eastAsia="Times New Roman" w:cs="Times New Roman"/>
      <w:sz w:val="28"/>
      <w:szCs w:val="28"/>
    </w:rPr>
  </w:style>
  <w:style w:type="character" w:styleId="Style15" w:customStyle="1">
    <w:name w:val="Текст выноски Знак"/>
    <w:basedOn w:val="DefaultParagraphFont"/>
    <w:link w:val="a6"/>
    <w:uiPriority w:val="99"/>
    <w:semiHidden/>
    <w:qFormat/>
    <w:rsid w:val="001651d9"/>
    <w:rPr>
      <w:rFonts w:ascii="Tahoma" w:hAnsi="Tahoma" w:eastAsia="Times New Roman" w:cs="Tahoma"/>
      <w:sz w:val="16"/>
      <w:szCs w:val="16"/>
    </w:rPr>
  </w:style>
  <w:style w:type="character" w:styleId="Style16" w:customStyle="1">
    <w:name w:val="Нижний колонтитул Знак"/>
    <w:basedOn w:val="DefaultParagraphFont"/>
    <w:link w:val="a9"/>
    <w:uiPriority w:val="99"/>
    <w:qFormat/>
    <w:rsid w:val="003945b6"/>
    <w:rPr>
      <w:rFonts w:ascii="Times New Roman" w:hAnsi="Times New Roman" w:eastAsia="Times New Roman" w:cs="Times New Roman"/>
      <w:sz w:val="28"/>
      <w:szCs w:val="28"/>
    </w:rPr>
  </w:style>
  <w:style w:type="character" w:styleId="Style17">
    <w:name w:val="Интернет-ссылка"/>
    <w:basedOn w:val="DefaultParagraphFont"/>
    <w:uiPriority w:val="99"/>
    <w:semiHidden/>
    <w:unhideWhenUsed/>
    <w:rsid w:val="0034598e"/>
    <w:rPr>
      <w:color w:val="0000FF"/>
      <w:u w:val="single"/>
    </w:rPr>
  </w:style>
  <w:style w:type="character" w:styleId="Rvts46" w:customStyle="1">
    <w:name w:val="rvts46"/>
    <w:basedOn w:val="DefaultParagraphFont"/>
    <w:qFormat/>
    <w:rsid w:val="0034598e"/>
    <w:rPr/>
  </w:style>
  <w:style w:type="character" w:styleId="ListLabel1">
    <w:name w:val="ListLabel 1"/>
    <w:qFormat/>
    <w:rPr>
      <w:color w:val="000000"/>
    </w:rPr>
  </w:style>
  <w:style w:type="character" w:styleId="ListLabel2">
    <w:name w:val="ListLabel 2"/>
    <w:qFormat/>
    <w:rPr>
      <w:rFonts w:eastAsia="Times New Roman" w:cs="Times New Roman"/>
    </w:rPr>
  </w:style>
  <w:style w:type="character" w:styleId="ListLabel3">
    <w:name w:val="ListLabel 3"/>
    <w:qFormat/>
    <w:rPr>
      <w:rFonts w:cs="Courier New"/>
    </w:rPr>
  </w:style>
  <w:style w:type="paragraph" w:styleId="Style18">
    <w:name w:val="Заголовок"/>
    <w:basedOn w:val="Normal"/>
    <w:next w:val="Style19"/>
    <w:qFormat/>
    <w:pPr>
      <w:keepNext/>
      <w:spacing w:before="240" w:after="120"/>
    </w:pPr>
    <w:rPr>
      <w:rFonts w:ascii="Liberation Sans" w:hAnsi="Liberation Sans" w:eastAsia="Microsoft YaHei" w:cs="Mangal"/>
      <w:sz w:val="28"/>
      <w:szCs w:val="28"/>
    </w:rPr>
  </w:style>
  <w:style w:type="paragraph" w:styleId="Style19">
    <w:name w:val="Основной текст"/>
    <w:basedOn w:val="Normal"/>
    <w:pPr>
      <w:spacing w:lineRule="auto" w:line="288" w:before="0" w:after="140"/>
    </w:pPr>
    <w:rPr/>
  </w:style>
  <w:style w:type="paragraph" w:styleId="Style20">
    <w:name w:val="Список"/>
    <w:basedOn w:val="Style19"/>
    <w:pPr/>
    <w:rPr>
      <w:rFonts w:cs="Mangal"/>
    </w:rPr>
  </w:style>
  <w:style w:type="paragraph" w:styleId="Style21">
    <w:name w:val="Название"/>
    <w:basedOn w:val="Normal"/>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ListParagraph">
    <w:name w:val="List Paragraph"/>
    <w:basedOn w:val="Normal"/>
    <w:uiPriority w:val="34"/>
    <w:qFormat/>
    <w:rsid w:val="00f03e60"/>
    <w:pPr>
      <w:spacing w:before="0" w:after="0"/>
      <w:ind w:left="720" w:hanging="0"/>
      <w:contextualSpacing/>
    </w:pPr>
    <w:rPr/>
  </w:style>
  <w:style w:type="paragraph" w:styleId="Style23">
    <w:name w:val="Верхний колонтитул"/>
    <w:basedOn w:val="Normal"/>
    <w:link w:val="a5"/>
    <w:uiPriority w:val="99"/>
    <w:unhideWhenUsed/>
    <w:rsid w:val="00f03e60"/>
    <w:pPr>
      <w:tabs>
        <w:tab w:val="center" w:pos="4819" w:leader="none"/>
        <w:tab w:val="right" w:pos="9639" w:leader="none"/>
      </w:tabs>
    </w:pPr>
    <w:rPr/>
  </w:style>
  <w:style w:type="paragraph" w:styleId="BalloonText">
    <w:name w:val="Balloon Text"/>
    <w:basedOn w:val="Normal"/>
    <w:link w:val="a7"/>
    <w:uiPriority w:val="99"/>
    <w:semiHidden/>
    <w:unhideWhenUsed/>
    <w:qFormat/>
    <w:rsid w:val="001651d9"/>
    <w:pPr/>
    <w:rPr>
      <w:rFonts w:ascii="Tahoma" w:hAnsi="Tahoma" w:cs="Tahoma"/>
      <w:sz w:val="16"/>
      <w:szCs w:val="16"/>
    </w:rPr>
  </w:style>
  <w:style w:type="paragraph" w:styleId="Style24">
    <w:name w:val="Нижний колонтитул"/>
    <w:basedOn w:val="Normal"/>
    <w:link w:val="aa"/>
    <w:uiPriority w:val="99"/>
    <w:unhideWhenUsed/>
    <w:rsid w:val="003945b6"/>
    <w:pPr>
      <w:tabs>
        <w:tab w:val="center" w:pos="4819" w:leader="none"/>
        <w:tab w:val="right" w:pos="9639" w:leader="none"/>
      </w:tabs>
    </w:pPr>
    <w:rPr/>
  </w:style>
  <w:style w:type="paragraph" w:styleId="Rvps2" w:customStyle="1">
    <w:name w:val="rvps2"/>
    <w:basedOn w:val="Normal"/>
    <w:qFormat/>
    <w:rsid w:val="0034598e"/>
    <w:pPr>
      <w:spacing w:beforeAutospacing="1" w:afterAutospacing="1"/>
      <w:jc w:val="left"/>
    </w:pPr>
    <w:rPr>
      <w:sz w:val="24"/>
      <w:szCs w:val="24"/>
      <w:lang w:val="ru-RU" w:eastAsia="ru-RU"/>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8">
    <w:name w:val="Table Grid"/>
    <w:basedOn w:val="a1"/>
    <w:uiPriority w:val="59"/>
    <w:rsid w:val="0059459d"/>
    <w:pPr>
      <w:spacing w:after="0" w:line="240" w:lineRule="auto"/>
    </w:pPr>
    <w:rPr>
      <w:lang w:val="ru-RU"/>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on.rada.gov.ua/laws/show/5492-17"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B8C70-6634-41F5-A4F1-877BDDCA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Application>LibreOffice/5.0.4.2$Windows_x86 LibreOffice_project/2b9802c1994aa0b7dc6079e128979269cf95bc78</Application>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2016-08-29T14:11:00Z</dcterms:created>
  <dc:creator>Оксана Горбаченко</dc:creator>
  <dc:language>uk-UA</dc:language>
  <cp:lastPrinted>2020-09-28T11:24:00Z</cp:lastPrinted>
  <dcterms:modified xsi:type="dcterms:W3CDTF">2022-09-29T16:50:18Z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