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7109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139700</wp:posOffset>
            </wp:positionH>
            <wp:positionV relativeFrom="page">
              <wp:posOffset>9739376</wp:posOffset>
            </wp:positionV>
            <wp:extent cx="3067812" cy="8130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812" cy="813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ЗАТВЕРДЖЕНО</w:t>
      </w:r>
    </w:p>
    <w:p>
      <w:pPr>
        <w:spacing w:before="0"/>
        <w:ind w:left="7109" w:right="0" w:firstLine="0"/>
        <w:jc w:val="left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> </w:t>
      </w:r>
      <w:r>
        <w:rPr>
          <w:sz w:val="24"/>
        </w:rPr>
        <w:t>Міністерства</w:t>
      </w:r>
      <w:r>
        <w:rPr>
          <w:spacing w:val="-4"/>
          <w:sz w:val="24"/>
        </w:rPr>
        <w:t> </w:t>
      </w:r>
      <w:r>
        <w:rPr>
          <w:sz w:val="24"/>
        </w:rPr>
        <w:t>юстиції</w:t>
      </w:r>
      <w:r>
        <w:rPr>
          <w:spacing w:val="-4"/>
          <w:sz w:val="24"/>
        </w:rPr>
        <w:t> </w:t>
      </w:r>
      <w:r>
        <w:rPr>
          <w:sz w:val="24"/>
        </w:rPr>
        <w:t>України</w:t>
      </w:r>
    </w:p>
    <w:p>
      <w:pPr>
        <w:tabs>
          <w:tab w:pos="9564" w:val="left" w:leader="none"/>
          <w:tab w:pos="11233" w:val="left" w:leader="none"/>
        </w:tabs>
        <w:spacing w:before="0"/>
        <w:ind w:left="7109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0"/>
        </w:rPr>
      </w:pPr>
    </w:p>
    <w:p>
      <w:pPr>
        <w:pStyle w:val="BodyText"/>
        <w:spacing w:before="90"/>
        <w:ind w:left="1275" w:right="529"/>
        <w:jc w:val="center"/>
      </w:pPr>
      <w:r>
        <w:rPr/>
        <w:t>ТИПОВА</w:t>
      </w:r>
      <w:r>
        <w:rPr>
          <w:spacing w:val="-4"/>
        </w:rPr>
        <w:t> </w:t>
      </w:r>
      <w:r>
        <w:rPr/>
        <w:t>ІНФОРМАЦІЙНА</w:t>
      </w:r>
      <w:r>
        <w:rPr>
          <w:spacing w:val="-3"/>
        </w:rPr>
        <w:t> </w:t>
      </w:r>
      <w:r>
        <w:rPr/>
        <w:t>КАРТКА</w:t>
      </w:r>
    </w:p>
    <w:p>
      <w:pPr>
        <w:pStyle w:val="BodyText"/>
        <w:ind w:left="1278" w:right="529"/>
        <w:jc w:val="center"/>
      </w:pPr>
      <w:r>
        <w:rPr/>
        <w:t>адміністративної послуги з державної реєстрації припинення громадського об’єднання в</w:t>
      </w:r>
      <w:r>
        <w:rPr>
          <w:spacing w:val="-57"/>
        </w:rPr>
        <w:t> </w:t>
      </w:r>
      <w:r>
        <w:rPr/>
        <w:t>результаті</w:t>
      </w:r>
      <w:r>
        <w:rPr>
          <w:spacing w:val="-2"/>
        </w:rPr>
        <w:t> </w:t>
      </w:r>
      <w:r>
        <w:rPr/>
        <w:t>його</w:t>
      </w:r>
      <w:r>
        <w:rPr>
          <w:spacing w:val="-1"/>
        </w:rPr>
        <w:t> </w:t>
      </w:r>
      <w:r>
        <w:rPr/>
        <w:t>ліквідації</w:t>
      </w:r>
    </w:p>
    <w:p>
      <w:pPr>
        <w:spacing w:line="240" w:lineRule="auto" w:before="8"/>
        <w:rPr>
          <w:b/>
          <w:sz w:val="19"/>
        </w:rPr>
      </w:pPr>
      <w:r>
        <w:rPr/>
        <w:pict>
          <v:shape style="position:absolute;margin-left:56.825001pt;margin-top:13.524073pt;width:510pt;height:.1pt;mso-position-horizontal-relative:page;mso-position-vertical-relative:paragraph;z-index:-15728640;mso-wrap-distance-left:0;mso-wrap-distance-right:0" coordorigin="1137,270" coordsize="10200,0" path="m1137,270l11337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1" w:lineRule="exact" w:before="0"/>
        <w:ind w:left="1502" w:right="0" w:firstLine="0"/>
        <w:jc w:val="left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> </w:t>
      </w:r>
      <w:r>
        <w:rPr>
          <w:sz w:val="20"/>
        </w:rPr>
        <w:t>суб’єкта</w:t>
      </w:r>
      <w:r>
        <w:rPr>
          <w:spacing w:val="-3"/>
          <w:sz w:val="20"/>
        </w:rPr>
        <w:t> </w:t>
      </w:r>
      <w:r>
        <w:rPr>
          <w:sz w:val="20"/>
        </w:rPr>
        <w:t>надання</w:t>
      </w:r>
      <w:r>
        <w:rPr>
          <w:spacing w:val="-4"/>
          <w:sz w:val="20"/>
        </w:rPr>
        <w:t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> </w:t>
      </w:r>
      <w:r>
        <w:rPr>
          <w:sz w:val="20"/>
        </w:rPr>
        <w:t>послуги</w:t>
      </w:r>
      <w:r>
        <w:rPr>
          <w:spacing w:val="-4"/>
          <w:sz w:val="20"/>
        </w:rPr>
        <w:t> </w:t>
      </w:r>
      <w:r>
        <w:rPr>
          <w:sz w:val="20"/>
        </w:rPr>
        <w:t>та/або</w:t>
      </w:r>
      <w:r>
        <w:rPr>
          <w:spacing w:val="-3"/>
          <w:sz w:val="20"/>
        </w:rPr>
        <w:t> </w:t>
      </w:r>
      <w:r>
        <w:rPr>
          <w:sz w:val="20"/>
        </w:rPr>
        <w:t>центру</w:t>
      </w:r>
      <w:r>
        <w:rPr>
          <w:spacing w:val="-4"/>
          <w:sz w:val="20"/>
        </w:rPr>
        <w:t> </w:t>
      </w:r>
      <w:r>
        <w:rPr>
          <w:sz w:val="20"/>
        </w:rPr>
        <w:t>надання</w:t>
      </w:r>
      <w:r>
        <w:rPr>
          <w:spacing w:val="-4"/>
          <w:sz w:val="20"/>
        </w:rPr>
        <w:t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> </w:t>
      </w:r>
      <w:r>
        <w:rPr>
          <w:sz w:val="20"/>
        </w:rPr>
        <w:t>послуг)</w:t>
      </w:r>
    </w:p>
    <w:p>
      <w:pPr>
        <w:spacing w:line="240" w:lineRule="auto" w:before="11" w:after="0"/>
        <w:rPr>
          <w:sz w:val="19"/>
        </w:rPr>
      </w:pPr>
    </w:p>
    <w:tbl>
      <w:tblPr>
        <w:tblW w:w="0" w:type="auto"/>
        <w:jc w:val="left"/>
        <w:tblInd w:w="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"/>
        <w:gridCol w:w="1333"/>
        <w:gridCol w:w="753"/>
        <w:gridCol w:w="954"/>
        <w:gridCol w:w="4482"/>
        <w:gridCol w:w="1336"/>
        <w:gridCol w:w="1125"/>
      </w:tblGrid>
      <w:tr>
        <w:trPr>
          <w:trHeight w:val="661" w:hRule="atLeast"/>
        </w:trPr>
        <w:tc>
          <w:tcPr>
            <w:tcW w:w="10488" w:type="dxa"/>
            <w:gridSpan w:val="7"/>
          </w:tcPr>
          <w:p>
            <w:pPr>
              <w:pStyle w:val="TableParagraph"/>
              <w:spacing w:before="55"/>
              <w:ind w:left="2626" w:right="1954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послуг</w:t>
            </w:r>
          </w:p>
        </w:tc>
      </w:tr>
      <w:tr>
        <w:trPr>
          <w:trHeight w:val="942" w:hRule="atLeast"/>
        </w:trPr>
        <w:tc>
          <w:tcPr>
            <w:tcW w:w="50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0" w:type="dxa"/>
            <w:gridSpan w:val="3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4482" w:type="dxa"/>
            <w:tcBorders>
              <w:right w:val="nil"/>
            </w:tcBorders>
          </w:tcPr>
          <w:p>
            <w:pPr>
              <w:pStyle w:val="TableParagraph"/>
              <w:tabs>
                <w:tab w:pos="2153" w:val="left" w:leader="none"/>
                <w:tab w:pos="2401" w:val="left" w:leader="none"/>
                <w:tab w:pos="3643" w:val="left" w:leader="none"/>
              </w:tabs>
              <w:ind w:left="61" w:right="106" w:firstLine="15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Зазначається</w:t>
              <w:tab/>
              <w:t>місцезнаходження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  <w:tab/>
              <w:tab/>
              <w:t>послуги</w:t>
              <w:tab/>
            </w:r>
            <w:r>
              <w:rPr>
                <w:i/>
                <w:spacing w:val="-1"/>
                <w:sz w:val="24"/>
              </w:rPr>
              <w:t>та/або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 послуг</w:t>
            </w:r>
          </w:p>
        </w:tc>
        <w:tc>
          <w:tcPr>
            <w:tcW w:w="1336" w:type="dxa"/>
            <w:tcBorders>
              <w:left w:val="nil"/>
              <w:right w:val="nil"/>
            </w:tcBorders>
          </w:tcPr>
          <w:p>
            <w:pPr>
              <w:pStyle w:val="TableParagraph"/>
              <w:ind w:left="362" w:right="208" w:hanging="23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центру</w:t>
            </w:r>
          </w:p>
        </w:tc>
        <w:tc>
          <w:tcPr>
            <w:tcW w:w="1125" w:type="dxa"/>
            <w:tcBorders>
              <w:left w:val="nil"/>
            </w:tcBorders>
          </w:tcPr>
          <w:p>
            <w:pPr>
              <w:pStyle w:val="TableParagraph"/>
              <w:ind w:left="241" w:right="24" w:hanging="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надання</w:t>
            </w:r>
          </w:p>
        </w:tc>
      </w:tr>
      <w:tr>
        <w:trPr>
          <w:trHeight w:val="942" w:hRule="atLeast"/>
        </w:trPr>
        <w:tc>
          <w:tcPr>
            <w:tcW w:w="50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3" w:type="dxa"/>
            <w:tcBorders>
              <w:right w:val="nil"/>
            </w:tcBorders>
          </w:tcPr>
          <w:p>
            <w:pPr>
              <w:pStyle w:val="TableParagraph"/>
              <w:ind w:right="73"/>
              <w:jc w:val="left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роботи</w:t>
            </w:r>
          </w:p>
        </w:tc>
        <w:tc>
          <w:tcPr>
            <w:tcW w:w="753" w:type="dxa"/>
            <w:tcBorders>
              <w:left w:val="nil"/>
              <w:right w:val="nil"/>
            </w:tcBorders>
          </w:tcPr>
          <w:p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щодо</w:t>
            </w:r>
          </w:p>
        </w:tc>
        <w:tc>
          <w:tcPr>
            <w:tcW w:w="954" w:type="dxa"/>
            <w:tcBorders>
              <w:left w:val="nil"/>
            </w:tcBorders>
          </w:tcPr>
          <w:p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режиму</w:t>
            </w:r>
          </w:p>
        </w:tc>
        <w:tc>
          <w:tcPr>
            <w:tcW w:w="4482" w:type="dxa"/>
            <w:tcBorders>
              <w:right w:val="nil"/>
            </w:tcBorders>
          </w:tcPr>
          <w:p>
            <w:pPr>
              <w:pStyle w:val="TableParagraph"/>
              <w:tabs>
                <w:tab w:pos="2124" w:val="left" w:leader="none"/>
                <w:tab w:pos="2401" w:val="left" w:leader="none"/>
                <w:tab w:pos="3349" w:val="left" w:leader="none"/>
                <w:tab w:pos="3643" w:val="left" w:leader="none"/>
              </w:tabs>
              <w:ind w:left="61" w:right="106" w:firstLine="15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Зазначається</w:t>
              <w:tab/>
              <w:t>режим</w:t>
              <w:tab/>
              <w:t>роботи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адміністративної</w:t>
              <w:tab/>
              <w:tab/>
              <w:t>послуги</w:t>
              <w:tab/>
              <w:tab/>
            </w:r>
            <w:r>
              <w:rPr>
                <w:i/>
                <w:spacing w:val="-1"/>
                <w:sz w:val="24"/>
              </w:rPr>
              <w:t>та/або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 послуг</w:t>
            </w:r>
          </w:p>
        </w:tc>
        <w:tc>
          <w:tcPr>
            <w:tcW w:w="1336" w:type="dxa"/>
            <w:tcBorders>
              <w:left w:val="nil"/>
              <w:right w:val="nil"/>
            </w:tcBorders>
          </w:tcPr>
          <w:p>
            <w:pPr>
              <w:pStyle w:val="TableParagraph"/>
              <w:ind w:left="362" w:right="208" w:hanging="21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центру</w:t>
            </w:r>
          </w:p>
        </w:tc>
        <w:tc>
          <w:tcPr>
            <w:tcW w:w="1125" w:type="dxa"/>
            <w:tcBorders>
              <w:left w:val="nil"/>
            </w:tcBorders>
          </w:tcPr>
          <w:p>
            <w:pPr>
              <w:pStyle w:val="TableParagraph"/>
              <w:ind w:left="241" w:right="2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надання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надання</w:t>
            </w:r>
          </w:p>
        </w:tc>
      </w:tr>
      <w:tr>
        <w:trPr>
          <w:trHeight w:val="942" w:hRule="atLeast"/>
        </w:trPr>
        <w:tc>
          <w:tcPr>
            <w:tcW w:w="50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40" w:type="dxa"/>
            <w:gridSpan w:val="3"/>
          </w:tcPr>
          <w:p>
            <w:pPr>
              <w:pStyle w:val="TableParagraph"/>
              <w:ind w:right="36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(довідки),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адреса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електронної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пошти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вебсайт</w:t>
            </w:r>
          </w:p>
        </w:tc>
        <w:tc>
          <w:tcPr>
            <w:tcW w:w="6943" w:type="dxa"/>
            <w:gridSpan w:val="3"/>
          </w:tcPr>
          <w:p>
            <w:pPr>
              <w:pStyle w:val="TableParagraph"/>
              <w:ind w:left="61" w:right="40" w:firstLine="151"/>
              <w:rPr>
                <w:i/>
                <w:sz w:val="24"/>
              </w:rPr>
            </w:pPr>
            <w:r>
              <w:rPr>
                <w:i/>
                <w:sz w:val="24"/>
              </w:rPr>
              <w:t>Зазначаються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телефон/факс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(довідки),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адреса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електронної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пошти та вебсайт суб’єкта надання адміністративної послуги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та/або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центру надання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адміністративних послуг</w:t>
            </w:r>
          </w:p>
        </w:tc>
      </w:tr>
      <w:tr>
        <w:trPr>
          <w:trHeight w:val="390" w:hRule="atLeast"/>
        </w:trPr>
        <w:tc>
          <w:tcPr>
            <w:tcW w:w="10488" w:type="dxa"/>
            <w:gridSpan w:val="7"/>
          </w:tcPr>
          <w:p>
            <w:pPr>
              <w:pStyle w:val="TableParagraph"/>
              <w:ind w:left="10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послуги</w:t>
            </w:r>
          </w:p>
        </w:tc>
      </w:tr>
      <w:tr>
        <w:trPr>
          <w:trHeight w:val="942" w:hRule="atLeast"/>
        </w:trPr>
        <w:tc>
          <w:tcPr>
            <w:tcW w:w="50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40" w:type="dxa"/>
            <w:gridSpan w:val="3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6943" w:type="dxa"/>
            <w:gridSpan w:val="3"/>
          </w:tcPr>
          <w:p>
            <w:pPr>
              <w:pStyle w:val="TableParagraph"/>
              <w:ind w:left="278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об’єднання»;</w:t>
            </w:r>
          </w:p>
          <w:p>
            <w:pPr>
              <w:pStyle w:val="TableParagraph"/>
              <w:spacing w:before="0"/>
              <w:ind w:left="61" w:firstLine="217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осіб 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підприємців 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громадських формувань»</w:t>
            </w:r>
          </w:p>
        </w:tc>
      </w:tr>
      <w:tr>
        <w:trPr>
          <w:trHeight w:val="942" w:hRule="atLeast"/>
        </w:trPr>
        <w:tc>
          <w:tcPr>
            <w:tcW w:w="50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40" w:type="dxa"/>
            <w:gridSpan w:val="3"/>
          </w:tcPr>
          <w:p>
            <w:pPr>
              <w:pStyle w:val="TableParagraph"/>
              <w:ind w:right="402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</w:tc>
        <w:tc>
          <w:tcPr>
            <w:tcW w:w="6943" w:type="dxa"/>
            <w:gridSpan w:val="3"/>
          </w:tcPr>
          <w:p>
            <w:pPr>
              <w:pStyle w:val="TableParagraph"/>
              <w:ind w:left="278"/>
              <w:jc w:val="left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Кабінету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Міністрів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04.12.2019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1137</w:t>
            </w:r>
          </w:p>
          <w:p>
            <w:pPr>
              <w:pStyle w:val="TableParagraph"/>
              <w:spacing w:before="0"/>
              <w:ind w:left="61"/>
              <w:jc w:val="left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веб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послуг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адміністративних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послуг»</w:t>
            </w:r>
          </w:p>
        </w:tc>
      </w:tr>
      <w:tr>
        <w:trPr>
          <w:trHeight w:val="4530" w:hRule="atLeast"/>
        </w:trPr>
        <w:tc>
          <w:tcPr>
            <w:tcW w:w="50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40" w:type="dxa"/>
            <w:gridSpan w:val="3"/>
          </w:tcPr>
          <w:p>
            <w:pPr>
              <w:pStyle w:val="TableParagraph"/>
              <w:ind w:right="240"/>
              <w:jc w:val="left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влади</w:t>
            </w:r>
          </w:p>
        </w:tc>
        <w:tc>
          <w:tcPr>
            <w:tcW w:w="6943" w:type="dxa"/>
            <w:gridSpan w:val="3"/>
          </w:tcPr>
          <w:p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Міністерства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18.11.2016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3268/5</w:t>
            </w:r>
          </w:p>
          <w:p>
            <w:pPr>
              <w:pStyle w:val="TableParagraph"/>
              <w:spacing w:before="0"/>
              <w:ind w:left="61" w:right="40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18.11.2016 за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1500/29630;</w:t>
            </w:r>
          </w:p>
          <w:p>
            <w:pPr>
              <w:pStyle w:val="TableParagraph"/>
              <w:spacing w:before="0"/>
              <w:ind w:left="278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Міністерства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09.02.2016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359/5</w:t>
            </w:r>
          </w:p>
          <w:p>
            <w:pPr>
              <w:pStyle w:val="TableParagraph"/>
              <w:spacing w:before="0"/>
              <w:ind w:left="61" w:right="40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 фізичних осіб – підприємців та громадських формувань, 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09.02.2016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200/28330;</w:t>
            </w:r>
          </w:p>
          <w:p>
            <w:pPr>
              <w:pStyle w:val="TableParagraph"/>
              <w:spacing w:before="0"/>
              <w:ind w:left="278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Міністерства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23.03.2016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784/5</w:t>
            </w:r>
          </w:p>
          <w:p>
            <w:pPr>
              <w:pStyle w:val="TableParagraph"/>
              <w:spacing w:before="0"/>
              <w:ind w:left="61" w:right="40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 23.03.2016 за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427/28557</w:t>
            </w:r>
          </w:p>
        </w:tc>
      </w:tr>
      <w:tr>
        <w:trPr>
          <w:trHeight w:val="390" w:hRule="atLeast"/>
        </w:trPr>
        <w:tc>
          <w:tcPr>
            <w:tcW w:w="10488" w:type="dxa"/>
            <w:gridSpan w:val="7"/>
          </w:tcPr>
          <w:p>
            <w:pPr>
              <w:pStyle w:val="TableParagraph"/>
              <w:ind w:left="2808" w:right="2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послуги</w:t>
            </w:r>
          </w:p>
        </w:tc>
      </w:tr>
      <w:tr>
        <w:trPr>
          <w:trHeight w:val="666" w:hRule="atLeast"/>
        </w:trPr>
        <w:tc>
          <w:tcPr>
            <w:tcW w:w="50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40" w:type="dxa"/>
            <w:gridSpan w:val="3"/>
          </w:tcPr>
          <w:p>
            <w:pPr>
              <w:pStyle w:val="TableParagraph"/>
              <w:ind w:right="327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6943" w:type="dxa"/>
            <w:gridSpan w:val="3"/>
          </w:tcPr>
          <w:p>
            <w:pPr>
              <w:pStyle w:val="TableParagraph"/>
              <w:tabs>
                <w:tab w:pos="1549" w:val="left" w:leader="none"/>
              </w:tabs>
              <w:ind w:left="61" w:right="40" w:firstLine="217"/>
              <w:jc w:val="left"/>
              <w:rPr>
                <w:sz w:val="24"/>
              </w:rPr>
            </w:pPr>
            <w:r>
              <w:rPr>
                <w:sz w:val="24"/>
              </w:rPr>
              <w:t>Звернення</w:t>
              <w:tab/>
              <w:t>голови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комісії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припинення,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ліквідатора,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уповноваженої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особи (далі – заявник)</w:t>
            </w:r>
          </w:p>
        </w:tc>
      </w:tr>
    </w:tbl>
    <w:p>
      <w:pPr>
        <w:spacing w:after="0"/>
        <w:jc w:val="left"/>
        <w:rPr>
          <w:sz w:val="24"/>
        </w:rPr>
        <w:sectPr>
          <w:type w:val="continuous"/>
          <w:pgSz w:w="11910" w:h="16840"/>
          <w:pgMar w:top="900" w:bottom="0" w:left="120" w:right="300"/>
        </w:sectPr>
      </w:pPr>
    </w:p>
    <w:p>
      <w:pPr>
        <w:spacing w:line="240" w:lineRule="auto" w:before="6"/>
        <w:rPr>
          <w:sz w:val="6"/>
        </w:rPr>
      </w:pPr>
    </w:p>
    <w:tbl>
      <w:tblPr>
        <w:tblW w:w="0" w:type="auto"/>
        <w:jc w:val="left"/>
        <w:tblInd w:w="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"/>
        <w:gridCol w:w="3039"/>
        <w:gridCol w:w="6939"/>
      </w:tblGrid>
      <w:tr>
        <w:trPr>
          <w:trHeight w:val="4525" w:hRule="atLeast"/>
        </w:trPr>
        <w:tc>
          <w:tcPr>
            <w:tcW w:w="505" w:type="dxa"/>
          </w:tcPr>
          <w:p>
            <w:pPr>
              <w:pStyle w:val="TableParagraph"/>
              <w:spacing w:before="5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39" w:type="dxa"/>
          </w:tcPr>
          <w:p>
            <w:pPr>
              <w:pStyle w:val="TableParagraph"/>
              <w:spacing w:before="55"/>
              <w:ind w:right="36"/>
              <w:jc w:val="left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6939" w:type="dxa"/>
          </w:tcPr>
          <w:p>
            <w:pPr>
              <w:pStyle w:val="TableParagraph"/>
              <w:spacing w:before="55"/>
              <w:ind w:right="35" w:firstLine="217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особи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результаті її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ліквідації;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довідка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архівної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прийняття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закону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підлягають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довгостроковому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зберіганню.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особисто,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заявник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пред’являє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що відповідно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 закону посвідчує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особу.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примірник оригіналу (нотаріально засвідчена копія) документа,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(крім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випадку,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коли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Єдиному державному реєстрі юридичних осіб, фізичних осіб 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громадських формувань).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засвідчує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нотаріально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посвідчена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довіреність</w:t>
            </w:r>
          </w:p>
        </w:tc>
      </w:tr>
      <w:tr>
        <w:trPr>
          <w:trHeight w:val="1770" w:hRule="atLeast"/>
        </w:trPr>
        <w:tc>
          <w:tcPr>
            <w:tcW w:w="50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39" w:type="dxa"/>
          </w:tcPr>
          <w:p>
            <w:pPr>
              <w:pStyle w:val="TableParagraph"/>
              <w:ind w:right="58"/>
              <w:jc w:val="left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693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22" w:val="left" w:leader="none"/>
              </w:tabs>
              <w:spacing w:line="240" w:lineRule="auto" w:before="60" w:after="0"/>
              <w:ind w:left="62"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поштовим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відправленням.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9" w:val="left" w:leader="none"/>
              </w:tabs>
              <w:spacing w:line="240" w:lineRule="auto" w:before="0" w:after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вебпорталу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послуг, надання яких зазначений вебпортал не забезпечує, – через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портал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електронних сервісів*</w:t>
            </w:r>
          </w:p>
        </w:tc>
      </w:tr>
      <w:tr>
        <w:trPr>
          <w:trHeight w:val="942" w:hRule="atLeast"/>
        </w:trPr>
        <w:tc>
          <w:tcPr>
            <w:tcW w:w="505" w:type="dxa"/>
          </w:tcPr>
          <w:p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39" w:type="dxa"/>
          </w:tcPr>
          <w:p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6939" w:type="dxa"/>
          </w:tcPr>
          <w:p>
            <w:pPr>
              <w:pStyle w:val="TableParagraph"/>
              <w:ind w:left="279"/>
              <w:jc w:val="left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>
        <w:trPr>
          <w:trHeight w:val="3150" w:hRule="atLeast"/>
        </w:trPr>
        <w:tc>
          <w:tcPr>
            <w:tcW w:w="505" w:type="dxa"/>
          </w:tcPr>
          <w:p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39" w:type="dxa"/>
          </w:tcPr>
          <w:p>
            <w:pPr>
              <w:pStyle w:val="TableParagraph"/>
              <w:ind w:right="326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6939" w:type="dxa"/>
          </w:tcPr>
          <w:p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підстав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зупинення розгляду документів та відмови у державній реєстрації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робочих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реєстрації.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Строк розгляду документів може бути продовжений суб’єктом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 реєстрації за необхідності, але не більше ніж на 15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робочих днів.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Зупинення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встановлений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державної реєстрації.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Строк зупинення розгляду документів, поданих для 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становить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15 календарних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днів 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дати їх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зупинення</w:t>
            </w:r>
          </w:p>
        </w:tc>
      </w:tr>
      <w:tr>
        <w:trPr>
          <w:trHeight w:val="2874" w:hRule="atLeast"/>
        </w:trPr>
        <w:tc>
          <w:tcPr>
            <w:tcW w:w="505" w:type="dxa"/>
          </w:tcPr>
          <w:p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39" w:type="dxa"/>
          </w:tcPr>
          <w:p>
            <w:pPr>
              <w:pStyle w:val="TableParagraph"/>
              <w:ind w:right="400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документів, поданих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939" w:type="dxa"/>
          </w:tcPr>
          <w:p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визначених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обсязі;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невідповідність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вимогам,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установленим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статтею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державну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формувань»;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порушенням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встановленого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законодавством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строку для їх подання</w:t>
            </w:r>
          </w:p>
        </w:tc>
      </w:tr>
      <w:tr>
        <w:trPr>
          <w:trHeight w:val="1218" w:hRule="atLeast"/>
        </w:trPr>
        <w:tc>
          <w:tcPr>
            <w:tcW w:w="505" w:type="dxa"/>
          </w:tcPr>
          <w:p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39" w:type="dxa"/>
          </w:tcPr>
          <w:p>
            <w:pPr>
              <w:pStyle w:val="TableParagraph"/>
              <w:ind w:right="31"/>
              <w:jc w:val="left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державній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939" w:type="dxa"/>
          </w:tcPr>
          <w:p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повноважень;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реєстрі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 – підприємців та громадських формувань містяться відомості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судове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заборони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реєстраційної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дії;</w:t>
            </w:r>
          </w:p>
        </w:tc>
      </w:tr>
    </w:tbl>
    <w:p>
      <w:pPr>
        <w:spacing w:after="0"/>
        <w:rPr>
          <w:sz w:val="24"/>
        </w:rPr>
        <w:sectPr>
          <w:headerReference w:type="default" r:id="rId6"/>
          <w:pgSz w:w="11910" w:h="16840"/>
          <w:pgMar w:header="577" w:footer="0" w:top="900" w:bottom="280" w:left="120" w:right="300"/>
          <w:pgNumType w:start="2"/>
        </w:sectPr>
      </w:pPr>
    </w:p>
    <w:p>
      <w:pPr>
        <w:spacing w:line="240" w:lineRule="auto" w:before="6"/>
        <w:rPr>
          <w:sz w:val="6"/>
        </w:rPr>
      </w:pPr>
    </w:p>
    <w:tbl>
      <w:tblPr>
        <w:tblW w:w="0" w:type="auto"/>
        <w:jc w:val="left"/>
        <w:tblInd w:w="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"/>
        <w:gridCol w:w="3039"/>
        <w:gridCol w:w="6939"/>
      </w:tblGrid>
      <w:tr>
        <w:trPr>
          <w:trHeight w:val="10597" w:hRule="atLeast"/>
        </w:trPr>
        <w:tc>
          <w:tcPr>
            <w:tcW w:w="505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3039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6939" w:type="dxa"/>
          </w:tcPr>
          <w:p>
            <w:pPr>
              <w:pStyle w:val="TableParagraph"/>
              <w:spacing w:before="55"/>
              <w:ind w:firstLine="217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усунуто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підстави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зупинення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розгляду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документів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протягом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встановленого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строку;</w:t>
            </w:r>
          </w:p>
          <w:p>
            <w:pPr>
              <w:pStyle w:val="TableParagraph"/>
              <w:tabs>
                <w:tab w:pos="1648" w:val="left" w:leader="none"/>
                <w:tab w:pos="2590" w:val="left" w:leader="none"/>
                <w:tab w:pos="3103" w:val="left" w:leader="none"/>
                <w:tab w:pos="4701" w:val="left" w:leader="none"/>
                <w:tab w:pos="5831" w:val="left" w:leader="none"/>
              </w:tabs>
              <w:spacing w:before="0"/>
              <w:ind w:left="279" w:right="35"/>
              <w:jc w:val="left"/>
              <w:rPr>
                <w:sz w:val="24"/>
              </w:rPr>
            </w:pPr>
            <w:r>
              <w:rPr>
                <w:sz w:val="24"/>
              </w:rPr>
              <w:t>документи суперечать вимогам Конституції та законів України;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документи</w:t>
              <w:tab/>
              <w:t>подані</w:t>
              <w:tab/>
              <w:t>до</w:t>
              <w:tab/>
              <w:t>неналежного</w:t>
              <w:tab/>
              <w:t>суб’єкта</w:t>
              <w:tab/>
            </w:r>
            <w:r>
              <w:rPr>
                <w:spacing w:val="-1"/>
                <w:sz w:val="24"/>
              </w:rPr>
              <w:t>державної</w:t>
            </w:r>
          </w:p>
          <w:p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реєстрації;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подані: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раніше строку, встановленого Законом України «Про 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припиняється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її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ліквідації та є засновником (учасником) інших юридичних 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та/або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незакриті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відокремлені підрозділи;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ліквідується,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стосовно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надійшли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заборгованості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сплати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податків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зборів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заборгованості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сплати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внеску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загальнообов’язкове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соціальне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страхування;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щодо юридичної особи, стосовно якої надійшли відомості 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заборгованості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сплати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страхових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коштів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Пенсійного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фонду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фондів соціального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страхування;</w:t>
            </w:r>
          </w:p>
          <w:p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щодо юридичної особи, стосовно якої надійшли відомості 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відкрите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виконавче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провадження;</w:t>
            </w:r>
          </w:p>
          <w:p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заяві про 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реєстрацію, відомостям, зазначеним у документах, поданих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 реєстрації, або відомостям, що містяться в Єдиному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 реєстрі юридичних осіб, фізичних осіб – підприємців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використання яких передбачено Законом України «Про 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формувань»;</w:t>
            </w:r>
          </w:p>
          <w:p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державної реєстрації, відомостям, що містяться в Єдиному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державному реєстрі юридичних осіб, фізичних осіб – підприємців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використання яких передбачено Законом України «Про державну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формувань»</w:t>
            </w:r>
          </w:p>
        </w:tc>
      </w:tr>
      <w:tr>
        <w:trPr>
          <w:trHeight w:val="1770" w:hRule="atLeast"/>
        </w:trPr>
        <w:tc>
          <w:tcPr>
            <w:tcW w:w="505" w:type="dxa"/>
          </w:tcPr>
          <w:p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39" w:type="dxa"/>
          </w:tcPr>
          <w:p>
            <w:pPr>
              <w:pStyle w:val="TableParagraph"/>
              <w:ind w:right="326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  <w:tc>
          <w:tcPr>
            <w:tcW w:w="6939" w:type="dxa"/>
          </w:tcPr>
          <w:p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Внесення відповідного запису до Єдиного державного реєстру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формувань;</w:t>
            </w:r>
          </w:p>
          <w:p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реєстрації;</w:t>
            </w:r>
          </w:p>
          <w:p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рішення та повідомлення про відмову у державній реєстрації 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зазначенням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виключного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переліку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підстав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відмови</w:t>
            </w:r>
          </w:p>
        </w:tc>
      </w:tr>
      <w:tr>
        <w:trPr>
          <w:trHeight w:val="2046" w:hRule="atLeast"/>
        </w:trPr>
        <w:tc>
          <w:tcPr>
            <w:tcW w:w="505" w:type="dxa"/>
          </w:tcPr>
          <w:p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39" w:type="dxa"/>
          </w:tcPr>
          <w:p>
            <w:pPr>
              <w:pStyle w:val="TableParagraph"/>
              <w:ind w:right="700"/>
              <w:jc w:val="left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939" w:type="dxa"/>
          </w:tcPr>
          <w:p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адміністративної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 реєстрації в електронній формі оприлюднюються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порталі електронних сервісів та доступні для їх пошуку за кодом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доступу.</w:t>
            </w:r>
          </w:p>
          <w:p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У разі відмови у державній реєстрації документи, подані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надсилаються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поштовим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відправленням)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заявнику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пізніше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наступного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577" w:footer="0" w:top="900" w:bottom="280" w:left="120" w:right="300"/>
        </w:sectPr>
      </w:pPr>
    </w:p>
    <w:p>
      <w:pPr>
        <w:spacing w:line="240" w:lineRule="auto" w:before="6"/>
        <w:rPr>
          <w:sz w:val="6"/>
        </w:rPr>
      </w:pPr>
    </w:p>
    <w:tbl>
      <w:tblPr>
        <w:tblW w:w="0" w:type="auto"/>
        <w:jc w:val="left"/>
        <w:tblInd w:w="8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"/>
        <w:gridCol w:w="3039"/>
        <w:gridCol w:w="6939"/>
      </w:tblGrid>
      <w:tr>
        <w:trPr>
          <w:trHeight w:val="661" w:hRule="atLeast"/>
        </w:trPr>
        <w:tc>
          <w:tcPr>
            <w:tcW w:w="505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3039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6939" w:type="dxa"/>
          </w:tcPr>
          <w:p>
            <w:pPr>
              <w:pStyle w:val="TableParagraph"/>
              <w:spacing w:before="55"/>
              <w:jc w:val="left"/>
              <w:rPr>
                <w:sz w:val="24"/>
              </w:rPr>
            </w:pPr>
            <w:r>
              <w:rPr>
                <w:sz w:val="24"/>
              </w:rPr>
              <w:t>робочого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надходження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заявника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заяви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повернення</w:t>
            </w:r>
          </w:p>
        </w:tc>
      </w:tr>
    </w:tbl>
    <w:p>
      <w:pPr>
        <w:spacing w:before="0"/>
        <w:ind w:left="872" w:right="0" w:firstLine="315"/>
        <w:jc w:val="left"/>
        <w:rPr>
          <w:sz w:val="14"/>
        </w:rPr>
      </w:pPr>
      <w:r>
        <w:rPr>
          <w:sz w:val="14"/>
        </w:rPr>
        <w:t>*</w:t>
      </w:r>
      <w:r>
        <w:rPr>
          <w:spacing w:val="19"/>
          <w:sz w:val="14"/>
        </w:rPr>
        <w:t> </w:t>
      </w:r>
      <w:r>
        <w:rPr>
          <w:sz w:val="14"/>
        </w:rPr>
        <w:t>Після</w:t>
      </w:r>
      <w:r>
        <w:rPr>
          <w:spacing w:val="20"/>
          <w:sz w:val="14"/>
        </w:rPr>
        <w:t> </w:t>
      </w:r>
      <w:r>
        <w:rPr>
          <w:sz w:val="14"/>
        </w:rPr>
        <w:t>доопрацювання</w:t>
      </w:r>
      <w:r>
        <w:rPr>
          <w:spacing w:val="19"/>
          <w:sz w:val="14"/>
        </w:rPr>
        <w:t> </w:t>
      </w:r>
      <w:r>
        <w:rPr>
          <w:sz w:val="14"/>
        </w:rPr>
        <w:t>Єдиного</w:t>
      </w:r>
      <w:r>
        <w:rPr>
          <w:spacing w:val="20"/>
          <w:sz w:val="14"/>
        </w:rPr>
        <w:t> </w:t>
      </w:r>
      <w:r>
        <w:rPr>
          <w:sz w:val="14"/>
        </w:rPr>
        <w:t>державного</w:t>
      </w:r>
      <w:r>
        <w:rPr>
          <w:spacing w:val="20"/>
          <w:sz w:val="14"/>
        </w:rPr>
        <w:t> </w:t>
      </w:r>
      <w:r>
        <w:rPr>
          <w:sz w:val="14"/>
        </w:rPr>
        <w:t>вебпорталу</w:t>
      </w:r>
      <w:r>
        <w:rPr>
          <w:spacing w:val="19"/>
          <w:sz w:val="14"/>
        </w:rPr>
        <w:t> </w:t>
      </w:r>
      <w:r>
        <w:rPr>
          <w:sz w:val="14"/>
        </w:rPr>
        <w:t>електронних</w:t>
      </w:r>
      <w:r>
        <w:rPr>
          <w:spacing w:val="20"/>
          <w:sz w:val="14"/>
        </w:rPr>
        <w:t> </w:t>
      </w:r>
      <w:r>
        <w:rPr>
          <w:sz w:val="14"/>
        </w:rPr>
        <w:t>послуг</w:t>
      </w:r>
      <w:r>
        <w:rPr>
          <w:spacing w:val="20"/>
          <w:sz w:val="14"/>
        </w:rPr>
        <w:t> </w:t>
      </w:r>
      <w:r>
        <w:rPr>
          <w:sz w:val="14"/>
        </w:rPr>
        <w:t>та/або</w:t>
      </w:r>
      <w:r>
        <w:rPr>
          <w:spacing w:val="19"/>
          <w:sz w:val="14"/>
        </w:rPr>
        <w:t> </w:t>
      </w:r>
      <w:r>
        <w:rPr>
          <w:sz w:val="14"/>
        </w:rPr>
        <w:t>порталу</w:t>
      </w:r>
      <w:r>
        <w:rPr>
          <w:spacing w:val="20"/>
          <w:sz w:val="14"/>
        </w:rPr>
        <w:t> </w:t>
      </w:r>
      <w:r>
        <w:rPr>
          <w:sz w:val="14"/>
        </w:rPr>
        <w:t>електронних</w:t>
      </w:r>
      <w:r>
        <w:rPr>
          <w:spacing w:val="20"/>
          <w:sz w:val="14"/>
        </w:rPr>
        <w:t> </w:t>
      </w:r>
      <w:r>
        <w:rPr>
          <w:sz w:val="14"/>
        </w:rPr>
        <w:t>сервісів,</w:t>
      </w:r>
      <w:r>
        <w:rPr>
          <w:spacing w:val="19"/>
          <w:sz w:val="14"/>
        </w:rPr>
        <w:t> </w:t>
      </w:r>
      <w:r>
        <w:rPr>
          <w:sz w:val="14"/>
        </w:rPr>
        <w:t>які</w:t>
      </w:r>
      <w:r>
        <w:rPr>
          <w:spacing w:val="20"/>
          <w:sz w:val="14"/>
        </w:rPr>
        <w:t> </w:t>
      </w:r>
      <w:r>
        <w:rPr>
          <w:sz w:val="14"/>
        </w:rPr>
        <w:t>будуть</w:t>
      </w:r>
      <w:r>
        <w:rPr>
          <w:spacing w:val="19"/>
          <w:sz w:val="14"/>
        </w:rPr>
        <w:t> </w:t>
      </w:r>
      <w:r>
        <w:rPr>
          <w:sz w:val="14"/>
        </w:rPr>
        <w:t>забезпечувати</w:t>
      </w:r>
      <w:r>
        <w:rPr>
          <w:spacing w:val="20"/>
          <w:sz w:val="14"/>
        </w:rPr>
        <w:t> </w:t>
      </w:r>
      <w:r>
        <w:rPr>
          <w:sz w:val="14"/>
        </w:rPr>
        <w:t>можливість</w:t>
      </w:r>
      <w:r>
        <w:rPr>
          <w:spacing w:val="20"/>
          <w:sz w:val="14"/>
        </w:rPr>
        <w:t> </w:t>
      </w:r>
      <w:r>
        <w:rPr>
          <w:sz w:val="14"/>
        </w:rPr>
        <w:t>подання</w:t>
      </w:r>
      <w:r>
        <w:rPr>
          <w:spacing w:val="1"/>
          <w:sz w:val="14"/>
        </w:rPr>
        <w:t> </w:t>
      </w:r>
      <w:r>
        <w:rPr>
          <w:sz w:val="14"/>
        </w:rPr>
        <w:t>таких документів в</w:t>
      </w:r>
      <w:r>
        <w:rPr>
          <w:spacing w:val="-2"/>
          <w:sz w:val="14"/>
        </w:rPr>
        <w:t> </w:t>
      </w:r>
      <w:r>
        <w:rPr>
          <w:sz w:val="14"/>
        </w:rPr>
        <w:t>електронній формі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pStyle w:val="BodyText"/>
        <w:spacing w:before="92"/>
        <w:ind w:left="1014"/>
      </w:pPr>
      <w:r>
        <w:rPr/>
        <w:t>Директор Департаменту нотаріату</w:t>
      </w:r>
    </w:p>
    <w:p>
      <w:pPr>
        <w:pStyle w:val="BodyText"/>
        <w:tabs>
          <w:tab w:pos="9055" w:val="left" w:leader="none"/>
        </w:tabs>
        <w:ind w:left="1014"/>
      </w:pPr>
      <w:r>
        <w:rPr/>
        <w:t>та</w:t>
      </w:r>
      <w:r>
        <w:rPr>
          <w:spacing w:val="-3"/>
        </w:rPr>
        <w:t> </w:t>
      </w:r>
      <w:r>
        <w:rPr/>
        <w:t>державної</w:t>
      </w:r>
      <w:r>
        <w:rPr>
          <w:spacing w:val="-1"/>
        </w:rPr>
        <w:t> </w:t>
      </w:r>
      <w:r>
        <w:rPr/>
        <w:t>реєстрації</w:t>
        <w:tab/>
        <w:t>Дмитро</w:t>
      </w:r>
      <w:r>
        <w:rPr>
          <w:spacing w:val="-3"/>
        </w:rPr>
        <w:t> </w:t>
      </w:r>
      <w:r>
        <w:rPr/>
        <w:t>КИРИЛЮК</w:t>
      </w:r>
    </w:p>
    <w:sectPr>
      <w:pgSz w:w="11910" w:h="16840"/>
      <w:pgMar w:header="577" w:footer="0" w:top="900" w:bottom="280" w:left="1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5.825012pt;margin-top:27.859642pt;width:12pt;height:15.3pt;mso-position-horizontal-relative:page;mso-position-vertical-relative:page;z-index:-159104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2" w:hanging="24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45" w:hanging="24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31" w:hanging="24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17" w:hanging="24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03" w:hanging="24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489" w:hanging="24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175" w:hanging="24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61" w:hanging="24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547" w:hanging="24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ind w:left="62"/>
      <w:jc w:val="both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dcterms:created xsi:type="dcterms:W3CDTF">2022-10-05T07:14:27Z</dcterms:created>
  <dcterms:modified xsi:type="dcterms:W3CDTF">2022-10-05T07:14:27Z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2022-10-05T00:00:00Z</vt:filetime>
  </property>
</Properties>
</file>