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08" w:rsidRPr="00D05BBA" w:rsidRDefault="00990608" w:rsidP="00990608">
      <w:pPr>
        <w:ind w:left="5664" w:firstLine="708"/>
        <w:jc w:val="both"/>
        <w:rPr>
          <w:rFonts w:ascii="Times New Roman" w:hAnsi="Times New Roman" w:cs="Times New Roman"/>
        </w:rPr>
      </w:pPr>
      <w:r w:rsidRPr="00D05BBA">
        <w:rPr>
          <w:rFonts w:ascii="Times New Roman" w:hAnsi="Times New Roman" w:cs="Times New Roman"/>
          <w:sz w:val="28"/>
        </w:rPr>
        <w:t>Додаток до рішення</w:t>
      </w:r>
    </w:p>
    <w:p w:rsidR="00990608" w:rsidRPr="00D05BBA" w:rsidRDefault="00990608" w:rsidP="00990608">
      <w:pPr>
        <w:jc w:val="both"/>
        <w:rPr>
          <w:rFonts w:ascii="Times New Roman" w:hAnsi="Times New Roman" w:cs="Times New Roman"/>
        </w:rPr>
      </w:pPr>
      <w:r w:rsidRPr="00D05BBA">
        <w:rPr>
          <w:rFonts w:ascii="Times New Roman" w:hAnsi="Times New Roman" w:cs="Times New Roman"/>
          <w:sz w:val="28"/>
        </w:rPr>
        <w:tab/>
      </w:r>
      <w:r w:rsidRPr="00D05BBA">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08.09.2022 №407</w:t>
      </w:r>
      <w:bookmarkStart w:id="0" w:name="_GoBack"/>
      <w:bookmarkEnd w:id="0"/>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center"/>
        <w:rPr>
          <w:rFonts w:ascii="Times New Roman" w:hAnsi="Times New Roman" w:cs="Times New Roman"/>
        </w:rPr>
      </w:pPr>
      <w:r w:rsidRPr="00D05BBA">
        <w:rPr>
          <w:rFonts w:ascii="Times New Roman" w:hAnsi="Times New Roman" w:cs="Times New Roman"/>
          <w:b/>
          <w:sz w:val="28"/>
        </w:rPr>
        <w:t xml:space="preserve">Перелік адміністративних послуг </w:t>
      </w:r>
    </w:p>
    <w:p w:rsidR="00990608" w:rsidRPr="00D05BBA" w:rsidRDefault="00990608" w:rsidP="00990608">
      <w:pPr>
        <w:jc w:val="center"/>
        <w:rPr>
          <w:rFonts w:ascii="Times New Roman" w:hAnsi="Times New Roman" w:cs="Times New Roman"/>
        </w:rPr>
      </w:pPr>
      <w:r w:rsidRPr="00D05BBA">
        <w:rPr>
          <w:rFonts w:ascii="Times New Roman" w:hAnsi="Times New Roman" w:cs="Times New Roman"/>
          <w:b/>
          <w:sz w:val="28"/>
        </w:rPr>
        <w:t xml:space="preserve">центру надання адміністративних послуг виконавчого комітету </w:t>
      </w:r>
    </w:p>
    <w:p w:rsidR="00990608" w:rsidRPr="00D05BBA" w:rsidRDefault="00990608" w:rsidP="00990608">
      <w:pPr>
        <w:jc w:val="center"/>
        <w:rPr>
          <w:rFonts w:ascii="Times New Roman" w:hAnsi="Times New Roman" w:cs="Times New Roman"/>
        </w:rPr>
      </w:pPr>
      <w:proofErr w:type="spellStart"/>
      <w:r w:rsidRPr="00D05BBA">
        <w:rPr>
          <w:rFonts w:ascii="Times New Roman" w:hAnsi="Times New Roman" w:cs="Times New Roman"/>
          <w:b/>
          <w:sz w:val="28"/>
        </w:rPr>
        <w:t>Стрийської</w:t>
      </w:r>
      <w:proofErr w:type="spellEnd"/>
      <w:r w:rsidRPr="00D05BBA">
        <w:rPr>
          <w:rFonts w:ascii="Times New Roman" w:hAnsi="Times New Roman" w:cs="Times New Roman"/>
          <w:b/>
          <w:sz w:val="28"/>
        </w:rPr>
        <w:t xml:space="preserve"> міської ради</w:t>
      </w:r>
    </w:p>
    <w:p w:rsidR="00990608" w:rsidRPr="00D05BBA" w:rsidRDefault="00990608" w:rsidP="00990608">
      <w:pPr>
        <w:jc w:val="both"/>
        <w:rPr>
          <w:rFonts w:ascii="Times New Roman" w:hAnsi="Times New Roman" w:cs="Times New Roman"/>
        </w:rPr>
      </w:pPr>
    </w:p>
    <w:tbl>
      <w:tblPr>
        <w:tblW w:w="0" w:type="auto"/>
        <w:tblInd w:w="8" w:type="dxa"/>
        <w:tblLayout w:type="fixed"/>
        <w:tblCellMar>
          <w:left w:w="0" w:type="dxa"/>
          <w:right w:w="0" w:type="dxa"/>
        </w:tblCellMar>
        <w:tblLook w:val="0000"/>
      </w:tblPr>
      <w:tblGrid>
        <w:gridCol w:w="1019"/>
        <w:gridCol w:w="2204"/>
        <w:gridCol w:w="6932"/>
      </w:tblGrid>
      <w:tr w:rsidR="00990608" w:rsidRPr="00D05BBA" w:rsidTr="0011357B">
        <w:tc>
          <w:tcPr>
            <w:tcW w:w="1019" w:type="dxa"/>
            <w:tcBorders>
              <w:top w:val="single" w:sz="6" w:space="0" w:color="000001"/>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b/>
                <w:sz w:val="22"/>
              </w:rPr>
              <w:t>№ з/п</w:t>
            </w:r>
          </w:p>
        </w:tc>
        <w:tc>
          <w:tcPr>
            <w:tcW w:w="2204" w:type="dxa"/>
            <w:tcBorders>
              <w:top w:val="single" w:sz="6" w:space="0" w:color="000001"/>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b/>
                <w:sz w:val="22"/>
              </w:rPr>
              <w:t>Ідентифікатор</w:t>
            </w:r>
          </w:p>
        </w:tc>
        <w:tc>
          <w:tcPr>
            <w:tcW w:w="6932" w:type="dxa"/>
            <w:tcBorders>
              <w:top w:val="single" w:sz="6" w:space="0" w:color="000001"/>
              <w:left w:val="single" w:sz="6" w:space="0" w:color="000001"/>
              <w:bottom w:val="single" w:sz="6" w:space="0" w:color="000001"/>
              <w:right w:val="single" w:sz="6" w:space="0" w:color="000001"/>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b/>
                <w:sz w:val="22"/>
              </w:rPr>
              <w:t>Найменування адміністративної послуги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створення юридичної особи (крім громадського формування та релігійної організації)</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00054</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00056</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00094</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00097</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юридичної особи в результаті її ліквідації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990608" w:rsidRPr="00D05BBA" w:rsidTr="0011357B">
        <w:trPr>
          <w:trHeight w:val="1020"/>
        </w:trPr>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00073</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припинення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00083</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00235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Видача виписки з Єдиного державного реєстру юридичних осіб, фізичних осіб - підприємців та громадських формувань у паперовій формі для </w:t>
            </w:r>
            <w:proofErr w:type="spellStart"/>
            <w:r w:rsidRPr="00D05BBA">
              <w:rPr>
                <w:rFonts w:ascii="Times New Roman" w:hAnsi="Times New Roman" w:cs="Times New Roman"/>
                <w:sz w:val="22"/>
              </w:rPr>
              <w:t>проставлення</w:t>
            </w:r>
            <w:proofErr w:type="spellEnd"/>
            <w:r w:rsidRPr="00D05BBA">
              <w:rPr>
                <w:rFonts w:ascii="Times New Roman" w:hAnsi="Times New Roman" w:cs="Times New Roman"/>
                <w:sz w:val="22"/>
              </w:rPr>
              <w:t xml:space="preserve"> </w:t>
            </w:r>
            <w:proofErr w:type="spellStart"/>
            <w:r w:rsidRPr="00D05BBA">
              <w:rPr>
                <w:rFonts w:ascii="Times New Roman" w:hAnsi="Times New Roman" w:cs="Times New Roman"/>
                <w:sz w:val="22"/>
              </w:rPr>
              <w:t>апостиля</w:t>
            </w:r>
            <w:proofErr w:type="spellEnd"/>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00234</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витягу з Єдиного державного реєстру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00236</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01179</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00683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Підтвердження відомостей про кінцевого </w:t>
            </w:r>
            <w:proofErr w:type="spellStart"/>
            <w:r w:rsidRPr="00D05BBA">
              <w:rPr>
                <w:rFonts w:ascii="Times New Roman" w:hAnsi="Times New Roman" w:cs="Times New Roman"/>
                <w:sz w:val="22"/>
              </w:rPr>
              <w:t>бенефіціарного</w:t>
            </w:r>
            <w:proofErr w:type="spellEnd"/>
            <w:r w:rsidRPr="00D05BBA">
              <w:rPr>
                <w:rFonts w:ascii="Times New Roman" w:hAnsi="Times New Roman" w:cs="Times New Roman"/>
                <w:sz w:val="22"/>
              </w:rPr>
              <w:t xml:space="preserve"> власника юридичної особи</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виділ юридичної особи (крім громадського формування та релігійної організації)</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00087</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створення відокремленого підрозділу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00090</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Державна реєстрація припинення відокремленого підрозділу юридичної особи (крім громадського формування та релігійної організації)</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00106</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фізичної особи - підприємця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00109</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00108</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00107</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підприємницької діяльності фізичної особи - підприємця за її рішенням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00051</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створення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00053</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00055</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00335</w:t>
            </w:r>
          </w:p>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00098</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зміни складу комісії з припинення (комісії з реорганізації, ліквідаційної комісії) громадського об’єднання</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громадського об’єднання в результаті його ліквідації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00102</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громадського об’єднання в результаті його реорганізації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00086</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виділ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30.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00077</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припинення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00084</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відміну рішення про припинення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00089</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створення відокремленого підрозділу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00091</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внесення змін до відомостей про відокремлений підрозділ громадського об’єднання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00093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відокремленого підрозділу громадського об’єднання</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01102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створення релігійної громади (у тому числі в результаті злиття, поділу)</w:t>
            </w:r>
          </w:p>
          <w:p w:rsidR="00990608" w:rsidRPr="00D05BBA" w:rsidRDefault="00990608" w:rsidP="0011357B">
            <w:pPr>
              <w:pStyle w:val="d1eee4e5f0e6e8eceee5f2e0e1ebe8f6fb"/>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01097</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01098</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статуту (положення) релігійної громади</w:t>
            </w:r>
          </w:p>
          <w:p w:rsidR="00990608" w:rsidRPr="00D05BBA" w:rsidRDefault="00990608" w:rsidP="0011357B">
            <w:pPr>
              <w:pStyle w:val="cef1edeee2edeee9f2e5eaf1f2"/>
              <w:spacing w:before="150" w:after="150"/>
              <w:rPr>
                <w:rFonts w:ascii="Times New Roman" w:hAnsi="Times New Roman" w:cs="Times New Roman"/>
                <w:sz w:val="22"/>
              </w:rPr>
            </w:pP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статуту (положення) релігійної громади у новій редакції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01103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p w:rsidR="00990608" w:rsidRPr="00D05BBA" w:rsidRDefault="00990608" w:rsidP="0011357B">
            <w:pPr>
              <w:pStyle w:val="d1eee4e5f0e6e8eceee5f2e0e1ebe8f6fb"/>
              <w:spacing w:before="150" w:after="150"/>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01105</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01100</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зміни складу комісії з припинення (комісії з реорганізації, ліквідаційної комісії) релігійної громади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40.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01104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релігійної громади в результаті її ліквідації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01112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припинення релігійної громади в результаті її реорганізації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01099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рішення про припинення релігійної громади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речового права, похідного від права власності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обтяжень речових прав на нерухоме майно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безхазяйного нерухомого майна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записів Державного реєстру речових прав на нерухоме майно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49.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інформації з Державного реєстру речових прав на нерухоме майно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01174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Заборона вчинення реєстраційних дій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00023</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з безконтактним електронним носієм вперше після досягнення 14-річного віку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00025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53.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00285</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00928</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00027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для виїзду за кордон з безконтактним електронним носієм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00028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00274</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00757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відповідності матеріально-технічної бази вимогам законодавства з питань охорони праці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59.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01451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зміни відомостей у декларації відповідності матеріально-технічної бази вимогам законодавства з питань охорони праці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00863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Видача дозволу на виконання робіт підвищеної небезпеки та на експлуатацію (застосування) машин, механізмів, </w:t>
            </w:r>
            <w:proofErr w:type="spellStart"/>
            <w:r w:rsidRPr="00D05BBA">
              <w:rPr>
                <w:rFonts w:ascii="Times New Roman" w:hAnsi="Times New Roman" w:cs="Times New Roman"/>
                <w:sz w:val="22"/>
              </w:rPr>
              <w:t>устатковання</w:t>
            </w:r>
            <w:proofErr w:type="spellEnd"/>
            <w:r w:rsidRPr="00D05BBA">
              <w:rPr>
                <w:rFonts w:ascii="Times New Roman" w:hAnsi="Times New Roman" w:cs="Times New Roman"/>
                <w:sz w:val="22"/>
              </w:rPr>
              <w:t xml:space="preserve">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01430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Переоформлення дозволу на виконання робіт підвищеної небезпеки та на експлуатацію (застосування) машин, механізмів, </w:t>
            </w:r>
            <w:proofErr w:type="spellStart"/>
            <w:r w:rsidRPr="00D05BBA">
              <w:rPr>
                <w:rFonts w:ascii="Times New Roman" w:hAnsi="Times New Roman" w:cs="Times New Roman"/>
                <w:sz w:val="22"/>
              </w:rPr>
              <w:t>устатковання</w:t>
            </w:r>
            <w:proofErr w:type="spellEnd"/>
            <w:r w:rsidRPr="00D05BBA">
              <w:rPr>
                <w:rFonts w:ascii="Times New Roman" w:hAnsi="Times New Roman" w:cs="Times New Roman"/>
                <w:sz w:val="22"/>
              </w:rPr>
              <w:t xml:space="preserve">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01446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Продовження строку дії дозволу на виконання робіт підвищеної небезпеки та на експлуатацію (застосування) машин, механізмів, </w:t>
            </w:r>
            <w:proofErr w:type="spellStart"/>
            <w:r w:rsidRPr="00D05BBA">
              <w:rPr>
                <w:rFonts w:ascii="Times New Roman" w:hAnsi="Times New Roman" w:cs="Times New Roman"/>
                <w:sz w:val="22"/>
              </w:rPr>
              <w:t>устатковання</w:t>
            </w:r>
            <w:proofErr w:type="spellEnd"/>
            <w:r w:rsidRPr="00D05BBA">
              <w:rPr>
                <w:rFonts w:ascii="Times New Roman" w:hAnsi="Times New Roman" w:cs="Times New Roman"/>
                <w:sz w:val="22"/>
              </w:rPr>
              <w:t xml:space="preserve">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63.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00728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Анулювання дозволу на виконання робіт підвищеної небезпеки та на експлуатацію (застосування) машин, механізмів, </w:t>
            </w:r>
            <w:proofErr w:type="spellStart"/>
            <w:r w:rsidRPr="00D05BBA">
              <w:rPr>
                <w:rFonts w:ascii="Times New Roman" w:hAnsi="Times New Roman" w:cs="Times New Roman"/>
                <w:sz w:val="22"/>
              </w:rPr>
              <w:t>устатковання</w:t>
            </w:r>
            <w:proofErr w:type="spellEnd"/>
            <w:r w:rsidRPr="00D05BBA">
              <w:rPr>
                <w:rFonts w:ascii="Times New Roman" w:hAnsi="Times New Roman" w:cs="Times New Roman"/>
                <w:sz w:val="22"/>
              </w:rPr>
              <w:t xml:space="preserve">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01618</w:t>
            </w:r>
          </w:p>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01043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безпеки об’єкта підвищеної небезпеки</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об’єкта (об’єктів) підвищеної небезпеки в Державному реєстрі об’єктів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01669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Виключення об’єкта підвищеної небезпеки з Державного реєстру об’єктів підвищеної небезпеки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00300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роботи з радіоактивними речовинами та іншими джерелами іонізуючого випромінювання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01612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осіб, які здійснюють господарську діяльність з виробництва та маркування дерев’яного пакувального матеріалу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01645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Відомча реєстрація тракторів, самохідних шасі, самохідних сільськогосподарських, </w:t>
            </w:r>
            <w:proofErr w:type="spellStart"/>
            <w:r w:rsidRPr="00D05BBA">
              <w:rPr>
                <w:rFonts w:ascii="Times New Roman" w:hAnsi="Times New Roman" w:cs="Times New Roman"/>
                <w:sz w:val="22"/>
              </w:rPr>
              <w:t>дорожньо-будівельних</w:t>
            </w:r>
            <w:proofErr w:type="spellEnd"/>
            <w:r w:rsidRPr="00D05BBA">
              <w:rPr>
                <w:rFonts w:ascii="Times New Roman" w:hAnsi="Times New Roman" w:cs="Times New Roman"/>
                <w:sz w:val="22"/>
              </w:rPr>
              <w:t xml:space="preserve"> і меліоративних машин, сільськогосподарської техніки, інших механізмів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69.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01719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Зняття з обліку тракторів, самохідних шасі, самохідних сільськогосподарських, </w:t>
            </w:r>
            <w:proofErr w:type="spellStart"/>
            <w:r w:rsidRPr="00D05BBA">
              <w:rPr>
                <w:rFonts w:ascii="Times New Roman" w:hAnsi="Times New Roman" w:cs="Times New Roman"/>
                <w:sz w:val="22"/>
              </w:rPr>
              <w:t>дорожньо-будівельних</w:t>
            </w:r>
            <w:proofErr w:type="spellEnd"/>
            <w:r w:rsidRPr="00D05BBA">
              <w:rPr>
                <w:rFonts w:ascii="Times New Roman" w:hAnsi="Times New Roman" w:cs="Times New Roman"/>
                <w:sz w:val="22"/>
              </w:rPr>
              <w:t xml:space="preserve"> і меліоративних машин, сільськогосподарської техніки, інших механізмів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00864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великотоннажних та інших технологічних транспортних засобів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00737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Тимчасова реєстрація великотоннажних та інших технологічних транспортних засобів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00712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Зняття з обліку великотоннажних та інших технологічних транспортних засобів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00727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Перереєстрація великотоннажних та інших технологічних транспортних засобів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01815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w:t>
            </w:r>
            <w:r w:rsidRPr="00D05BBA">
              <w:rPr>
                <w:rFonts w:ascii="Times New Roman" w:hAnsi="Times New Roman" w:cs="Times New Roman"/>
                <w:sz w:val="22"/>
              </w:rPr>
              <w:lastRenderedPageBreak/>
              <w:t>системі МВС)</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75.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00521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01490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proofErr w:type="spellStart"/>
            <w:r w:rsidRPr="00D05BBA">
              <w:rPr>
                <w:rFonts w:ascii="Times New Roman" w:hAnsi="Times New Roman" w:cs="Times New Roman"/>
                <w:sz w:val="22"/>
              </w:rPr>
              <w:t>Перезакріплення</w:t>
            </w:r>
            <w:proofErr w:type="spellEnd"/>
            <w:r w:rsidRPr="00D05BBA">
              <w:rPr>
                <w:rFonts w:ascii="Times New Roman" w:hAnsi="Times New Roman" w:cs="Times New Roman"/>
                <w:sz w:val="22"/>
              </w:rPr>
              <w:t xml:space="preserve"> індивідуального номерного знака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01490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proofErr w:type="spellStart"/>
            <w:r w:rsidRPr="00D05BBA">
              <w:rPr>
                <w:rFonts w:ascii="Times New Roman" w:hAnsi="Times New Roman" w:cs="Times New Roman"/>
                <w:sz w:val="22"/>
              </w:rPr>
              <w:t>Перезакріплення</w:t>
            </w:r>
            <w:proofErr w:type="spellEnd"/>
            <w:r w:rsidRPr="00D05BBA">
              <w:rPr>
                <w:rFonts w:ascii="Times New Roman" w:hAnsi="Times New Roman" w:cs="Times New Roman"/>
                <w:sz w:val="22"/>
              </w:rPr>
              <w:t xml:space="preserve"> індивідуального номерного знака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00744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тимчасового реєстраційного талона на право керування транспортним засобом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79.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00743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нового посвідчення водія на право керування транспортними засобами замість втраченого або викраденого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00509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Обмін посвідчення водія на право керування транспортними засобами (без складання іспитів)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земельної ділянки з видачею витягу з Державного земельного кадастру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до Державного земельного кадастру відомостей про земельну ділянку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до Державного земельного кадастру змін до відомостей про земельну ділянку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00075</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r w:rsidRPr="00D05BBA">
              <w:rPr>
                <w:rFonts w:ascii="Times New Roman" w:hAnsi="Times New Roman" w:cs="Times New Roman"/>
                <w:sz w:val="22"/>
              </w:rPr>
              <w:lastRenderedPageBreak/>
              <w:t>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88.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00078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обмежень у використанні земель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89.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Виправлення технічної помилки у відомостях Державного земельного кадастру не з вини органу, що здійснює його ведення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00080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00059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витягу з Державного земельного кадастру про земельну ділянку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довідки, що містить узагальнену інформацію про землі (території)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довідки про наявність та розмір земельної частки (паю)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99.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01254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довідки про осіб, які отримали доступ до інформації про суб’єкта речового права у Державному земельному кадастрі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00207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Надання дозволу на розроблення проекту землеустрою щодо відведення земельної ділянки для послідуючого продажу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101.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дозволу на розроблення проекту землеустрою щодо відведення земельної ділянки у користування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00210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Надання дозволу на розроблення проекту землеустрою, що забезпечує </w:t>
            </w:r>
            <w:proofErr w:type="spellStart"/>
            <w:r w:rsidRPr="00D05BBA">
              <w:rPr>
                <w:rFonts w:ascii="Times New Roman" w:hAnsi="Times New Roman" w:cs="Times New Roman"/>
                <w:sz w:val="22"/>
              </w:rPr>
              <w:t>еколого-економічне</w:t>
            </w:r>
            <w:proofErr w:type="spellEnd"/>
            <w:r w:rsidRPr="00D05BBA">
              <w:rPr>
                <w:rFonts w:ascii="Times New Roman" w:hAnsi="Times New Roman" w:cs="Times New Roman"/>
                <w:sz w:val="22"/>
              </w:rPr>
              <w:t xml:space="preserve"> обґрунтування сівозміни та впорядкування угідь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згоди на передачу орендованої земельної ділянки в суборенду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00213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права користування чужою земельною ділянкою для забудови (</w:t>
            </w:r>
            <w:proofErr w:type="spellStart"/>
            <w:r w:rsidRPr="00D05BBA">
              <w:rPr>
                <w:rFonts w:ascii="Times New Roman" w:hAnsi="Times New Roman" w:cs="Times New Roman"/>
                <w:sz w:val="22"/>
              </w:rPr>
              <w:t>суперфіцій</w:t>
            </w:r>
            <w:proofErr w:type="spellEnd"/>
            <w:r w:rsidRPr="00D05BBA">
              <w:rPr>
                <w:rFonts w:ascii="Times New Roman" w:hAnsi="Times New Roman" w:cs="Times New Roman"/>
                <w:sz w:val="22"/>
              </w:rPr>
              <w:t>)</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відомостей з документації із землеустрою, що включена до Державного фонду документації із землеустрою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00068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витягу з технічної документації про нормативну грошову оцінку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01161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00175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109.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00174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рішення про продаж земельних ділянок державної та комунальної власності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00244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довідки про наявність у фізичної особи земельних ділянок</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00176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розроблення проекту землеустрою щодо відведення земельної ділянки у межах безоплатної приватизації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00217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проекту землеустрою щодо відведення земельної ділянки у разі зміни її цільового призначення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00180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технічної документації з бонітування ґрунтів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114.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00181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технічної документації з економічної оцінки земель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00179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технічної документації з нормативної грошової оцінки земельної ділянки у межах населених пунктів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00182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проекту землеустрою щодо відведення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Припинення права оренди земельної ділянки або її частини у разі добровільної відмови орендаря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00208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119.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00206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висновку державної санітарно-епідеміологічної експертизи:</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1) діючих об’єктів, у тому числі військового та оборонного призначення;</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2) документації на розроблювані техніку, технології, устаткування, інструменти тощо;</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00162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відповідності матеріально-технічної бази суб’єктів господарювання вимогам законодавства у сфері пожежної безпеки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00137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виконання будівельних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00148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зміни даних у дозволі на виконання будівельних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01187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Анулювання дозволу на виконання будівельних робіт за заявою замовника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01208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Подання повідомлення про початок будівельних робіт щодо об’єктів, що за класом наслідків (відповідальності) належать до об’єктів з </w:t>
            </w:r>
            <w:r w:rsidRPr="00D05BBA">
              <w:rPr>
                <w:rFonts w:ascii="Times New Roman" w:hAnsi="Times New Roman" w:cs="Times New Roman"/>
                <w:sz w:val="22"/>
              </w:rPr>
              <w:lastRenderedPageBreak/>
              <w:t>незначними наслідками (СС1)</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125.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01209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01218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01219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00146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повідомлення про початок виконання будівельних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129.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01188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Скасування повідомлення про початок виконання будівельних робіт за заявою замовника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00134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Подання повідомлення про початок виконання підготовчих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01190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Скасування повідомлення про початок виконання підготовчих робіт за заявою замовника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00156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будівельного паспорта забудови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01192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дубліката будівельного паспорта забудови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00158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містобудівних умов та обмежень забудови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01186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містобудівних умов та обмежень забудови земельної ділянки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01670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містобудівних умов та обмежень для проектування об’єкта будівництва на території зони відчуження та зони безумовного (обов’язкового) відселення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01685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Внесення змін до містобудівних умов та обмежень для проектування об’єкта будівництва на території зони відчуження та зони безумовного </w:t>
            </w:r>
            <w:r w:rsidRPr="00D05BBA">
              <w:rPr>
                <w:rFonts w:ascii="Times New Roman" w:hAnsi="Times New Roman" w:cs="Times New Roman"/>
                <w:sz w:val="22"/>
              </w:rPr>
              <w:lastRenderedPageBreak/>
              <w:t>(обов’язкового) відселення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138.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00142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сертифіката про прийняття в експлуатацію закінченого будівництвом об’єкта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139.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01263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про готовність до експлуатації самочинно збудованого об’єкта, на яке визнано право власності за рішенням суду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00138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про готовність об’єкта до експлуатації, будівництво якого здійснено на підставі будівельного паспорта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01376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01189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декларації про початок виконання підготовчих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01902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декларації про початок виконання будівельних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паспорта прив’язки тимчасової споруди для провадження підприємницької діяльності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Продовження строку дії паспорта прив’язки тимчасової споруди для провадження підприємницької діяльності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00191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паспорта прив’язки тимчасової споруди для провадження підприємницької діяльності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01671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01686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149.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00153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про присвоєння адреси об’єкту нерухомого майна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01240</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Прийняття рішення про зміну адреси об’єкта нерухомого майна</w:t>
            </w:r>
          </w:p>
          <w:p w:rsidR="00990608" w:rsidRPr="00D05BBA" w:rsidRDefault="00990608" w:rsidP="0011357B">
            <w:pPr>
              <w:pStyle w:val="cef1edeee2edeee9f2e5eaf1f2"/>
              <w:spacing w:before="150" w:after="150"/>
              <w:rPr>
                <w:rFonts w:ascii="Times New Roman" w:hAnsi="Times New Roman" w:cs="Times New Roman"/>
                <w:sz w:val="22"/>
              </w:rPr>
            </w:pP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151.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01330</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кадастрової довідки з містобудівного кадастру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01121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викиди забруднюючих речовин в атмосферне повітря стаціонарними джерелами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01123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Анулювання дозволу на викиди забруднюючих речовин в атмосферне повітря стаціонарними джерелами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01129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паспорта місць видалення відходів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01149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реєстрових карт об’єктів утворення, оброблення та утилізації відходів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01127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спеціальне використання природних ресурсів у межах територій та об’єктів природно-заповідного фонду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01128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Анулювання дозволу на спеціальне використання природних ресурсів у межах територій та об’єктів природно-заповідного фонду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01308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159.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01320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01322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01323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рішення про виділення у встановленому порядку лісових ділянок для довгострокового тимчасового користування лісами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01319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сертифіката про походження лісоматеріалів та виготовлених з них пиломатеріалів для здійснення експортних операцій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01315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спеціального дозволу на спеціальне використання лісових ресурсів (лісорубний квиток, ордер, лісовий квиток)</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01316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 xml:space="preserve">Переоформлення спеціального дозволу на спеціальне використання </w:t>
            </w:r>
            <w:r w:rsidRPr="00D05BBA">
              <w:rPr>
                <w:rFonts w:ascii="Times New Roman" w:hAnsi="Times New Roman" w:cs="Times New Roman"/>
                <w:sz w:val="22"/>
              </w:rPr>
              <w:lastRenderedPageBreak/>
              <w:t>лісових ресурсів (лісорубний квиток, ордер, лісовий квиток)</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165.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01318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Анулювання спеціального дозволу на спеціальне використання лісових ресурсів (лісорубний квиток, ордер, лісовий квиток)</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00163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експлуатаційного дозволу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00654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експлуатаційного дозволу для потужностей (об’єктів) з переробки неїстівних продуктів тваринного походження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01399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потужностей оператора ринку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169.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01400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відомостей Державного реєстру потужностей операторів ринку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01401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відомостей про припинення використання потужності до Державного реєстру потужностей операторів ринку використання потужності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01611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Затвердження експортної потужності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00165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01132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01469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01470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консервацію, реставрацію, реабілітацію, музеєфікацію, ремонт, пристосування пам’яток місцевого значення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01117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розміщення зовнішньої реклами поза межами населених пунктів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00983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актових записів цивільного стану, їх поновлення та анулювання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178.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народження дитини та її походження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179.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шлюбу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розірвання шлюбу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00868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зміни імені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00033</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смерті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01418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витягу з Державного реєстру актів цивільного стану громадян</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01854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Повторна видача свідоцтва про державну реєстрацію акта цивільного стану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01369</w:t>
            </w:r>
          </w:p>
          <w:p w:rsidR="00990608" w:rsidRPr="00D05BBA" w:rsidRDefault="00990608" w:rsidP="0011357B">
            <w:pPr>
              <w:pStyle w:val="cef1edeee2edeee9f2e5eaf1f2"/>
              <w:spacing w:before="150" w:after="150"/>
              <w:jc w:val="center"/>
              <w:rPr>
                <w:rFonts w:ascii="Times New Roman" w:hAnsi="Times New Roman" w:cs="Times New Roman"/>
                <w:sz w:val="22"/>
              </w:rPr>
            </w:pPr>
          </w:p>
          <w:p w:rsidR="00990608" w:rsidRPr="00D05BBA" w:rsidRDefault="00990608" w:rsidP="0011357B">
            <w:pPr>
              <w:pStyle w:val="d1eee4e5f0e6e8eceee5f2e0e1ebe8f6fb"/>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Комплексна послуга </w:t>
            </w:r>
            <w:proofErr w:type="spellStart"/>
            <w:r w:rsidRPr="00D05BBA">
              <w:rPr>
                <w:rFonts w:ascii="Times New Roman" w:hAnsi="Times New Roman" w:cs="Times New Roman"/>
                <w:sz w:val="22"/>
              </w:rPr>
              <w:t>“єМалятко”</w:t>
            </w:r>
            <w:proofErr w:type="spellEnd"/>
            <w:r w:rsidRPr="00D05BBA">
              <w:rPr>
                <w:rFonts w:ascii="Times New Roman" w:hAnsi="Times New Roman" w:cs="Times New Roman"/>
                <w:sz w:val="22"/>
              </w:rPr>
              <w:t>:</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1) державна реєстрація народження та визначення походження дитини</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2) реєстрація місця проживання</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3) призначення допомоги при народженні дитини</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4) призначення допомоги на дітей, які виховуються у багатодітних сім’ях</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5) внесення відомостей про дитину до Реєстру пацієнтів, що ведеться у центральній базі даних електронної системи охорони здоров’я</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6) реєстрація у Державному реєстрі фізичних осіб - платників податків</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7) видача посвідчень батьків багатодітної сім’ї та дитини з багатодітної сім’ї</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8) визначення належності новонародженої дитини до громадянства України</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9) внесення інформації про новонароджену дитину до Єдиного державного демографічного реєстру з присвоєнням унікального номера запису в ньому</w:t>
            </w:r>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 10) надання одноразової натуральної допомоги </w:t>
            </w:r>
            <w:proofErr w:type="spellStart"/>
            <w:r w:rsidRPr="00D05BBA">
              <w:rPr>
                <w:rFonts w:ascii="Times New Roman" w:hAnsi="Times New Roman" w:cs="Times New Roman"/>
                <w:sz w:val="22"/>
              </w:rPr>
              <w:t>“пакунок</w:t>
            </w:r>
            <w:proofErr w:type="spellEnd"/>
            <w:r w:rsidRPr="00D05BBA">
              <w:rPr>
                <w:rFonts w:ascii="Times New Roman" w:hAnsi="Times New Roman" w:cs="Times New Roman"/>
                <w:sz w:val="22"/>
              </w:rPr>
              <w:t xml:space="preserve"> </w:t>
            </w:r>
            <w:proofErr w:type="spellStart"/>
            <w:r w:rsidRPr="00D05BBA">
              <w:rPr>
                <w:rFonts w:ascii="Times New Roman" w:hAnsi="Times New Roman" w:cs="Times New Roman"/>
                <w:sz w:val="22"/>
              </w:rPr>
              <w:t>малюка”</w:t>
            </w:r>
            <w:proofErr w:type="spellEnd"/>
            <w:r w:rsidRPr="00D05BBA">
              <w:rPr>
                <w:rFonts w:ascii="Times New Roman" w:hAnsi="Times New Roman" w:cs="Times New Roman"/>
                <w:sz w:val="22"/>
              </w:rPr>
              <w:t xml:space="preserve"> за місцем проживання або перебування її </w:t>
            </w:r>
            <w:proofErr w:type="spellStart"/>
            <w:r w:rsidRPr="00D05BBA">
              <w:rPr>
                <w:rFonts w:ascii="Times New Roman" w:hAnsi="Times New Roman" w:cs="Times New Roman"/>
                <w:sz w:val="22"/>
              </w:rPr>
              <w:t>отримувача</w:t>
            </w:r>
            <w:proofErr w:type="spellEnd"/>
          </w:p>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11) надання грошової компенсації вартості одноразової натуральної </w:t>
            </w:r>
            <w:r w:rsidRPr="00D05BBA">
              <w:rPr>
                <w:rFonts w:ascii="Times New Roman" w:hAnsi="Times New Roman" w:cs="Times New Roman"/>
                <w:sz w:val="22"/>
              </w:rPr>
              <w:lastRenderedPageBreak/>
              <w:t xml:space="preserve">допомоги </w:t>
            </w:r>
            <w:proofErr w:type="spellStart"/>
            <w:r w:rsidRPr="00D05BBA">
              <w:rPr>
                <w:rFonts w:ascii="Times New Roman" w:hAnsi="Times New Roman" w:cs="Times New Roman"/>
                <w:sz w:val="22"/>
              </w:rPr>
              <w:t>“пакунок</w:t>
            </w:r>
            <w:proofErr w:type="spellEnd"/>
            <w:r w:rsidRPr="00D05BBA">
              <w:rPr>
                <w:rFonts w:ascii="Times New Roman" w:hAnsi="Times New Roman" w:cs="Times New Roman"/>
                <w:sz w:val="22"/>
              </w:rPr>
              <w:t xml:space="preserve"> </w:t>
            </w:r>
            <w:proofErr w:type="spellStart"/>
            <w:r w:rsidRPr="00D05BBA">
              <w:rPr>
                <w:rFonts w:ascii="Times New Roman" w:hAnsi="Times New Roman" w:cs="Times New Roman"/>
                <w:sz w:val="22"/>
              </w:rPr>
              <w:t>малюка”</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186.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00257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свідоцтва про право власності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01352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дубліката свідоцтва про право власності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00238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ордера на жиле приміщення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189.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01472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Рішення щодо продовження строку проживання в жилих приміщеннях з фондів житла для тимчасового проживання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громадян, які потребують поліпшення житлових умов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01471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громадян, які потребують надання житлового приміщення з фондів житла для тимчасового проживання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00034</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місця проживання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01217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місця проживання дитини до 14 років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Зняття із задекларованого/зареєстрованого місця проживання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00040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місця перебування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spacing w:before="150" w:after="150"/>
              <w:jc w:val="center"/>
              <w:rPr>
                <w:rFonts w:ascii="Times New Roman" w:hAnsi="Times New Roman" w:cs="Times New Roman"/>
              </w:rPr>
            </w:pPr>
            <w:r w:rsidRPr="00D05BBA">
              <w:rPr>
                <w:rFonts w:ascii="Times New Roman" w:hAnsi="Times New Roman" w:cs="Times New Roman"/>
                <w:sz w:val="22"/>
              </w:rPr>
              <w:t>00038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витягу з реєстру територіальної громад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01586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направлення для отримання послуг з соціальної та професійної адаптації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198.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00237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w:t>
            </w:r>
            <w:r w:rsidRPr="00D05BBA">
              <w:rPr>
                <w:rFonts w:ascii="Times New Roman" w:hAnsi="Times New Roman" w:cs="Times New Roman"/>
                <w:sz w:val="22"/>
              </w:rPr>
              <w:lastRenderedPageBreak/>
              <w:t>та загинула (пропала безвісти), померла внаслідок поранення, контузії, каліцтва або захворювання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199.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01197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Установлення статусу, видача посвідчень жертвам нацистських переслідувань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00241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статусу особи з інвалідністю внаслідок війни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01588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статусу постраждалого учасника Революції Гідності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01598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Позбавлення статусу постраждалого учасника Революції Гідності за заявою особи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01286</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статусу учасника бойових дій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01198</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бланка-вкладки до посвідчення учасника бойових дій, особи з інвалідністю внаслідок війни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01285</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Позбавлення статусу учасника бойових дій за заявою учасника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00751</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Установлення статусу, видача посвідчень ветеранам праці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01620</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 xml:space="preserve">01877 </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209.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01257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внутрішньо переміщених осіб, які потребують надання житлового приміщення з фондів житла для тимчасового проживання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00169</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довідки про взяття на облік внутрішньо переміщеної особи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01622</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lastRenderedPageBreak/>
              <w:t xml:space="preserve">Призначення грошової компенсації за належні для отримання жилі </w:t>
            </w:r>
            <w:r w:rsidRPr="00D05BBA">
              <w:rPr>
                <w:rFonts w:ascii="Times New Roman" w:hAnsi="Times New Roman" w:cs="Times New Roman"/>
                <w:sz w:val="22"/>
              </w:rPr>
              <w:lastRenderedPageBreak/>
              <w:t>приміщення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212.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02417</w:t>
            </w:r>
          </w:p>
          <w:p w:rsidR="00990608" w:rsidRPr="00D05BBA" w:rsidRDefault="00990608" w:rsidP="0011357B">
            <w:pPr>
              <w:pStyle w:val="cef1edeee2edeee9f2e5eaf1f2"/>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допомоги на проживання внутрішньо переміщеним особам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01433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01262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статусу дитини, яка постраждала внаслідок воєнних дій та збройних конфліктів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01747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про надання грошової допомоги постраждалим від надзвичайних ситуацій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01746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Установлення статусу, видача посвідчень батькам багатодітної сім’ї та дитини з багатодітної сім’ї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01200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Вклейка фотокартки в посвідчення дитини з багатодітної сім’ї у зв’язку з досягненням 14-річного віку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219.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01194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дубліката посвідчення батьків багатодітної сім’ї та дитини з багатодітної сім’ї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01196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Продовження строку дії посвідчень батьків багатодітної сім’ї та дитини з багатодітної сім’ї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00135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одноразової винагороди жінкам, яким присвоєно почесне звання України </w:t>
            </w:r>
            <w:proofErr w:type="spellStart"/>
            <w:r w:rsidRPr="00D05BBA">
              <w:rPr>
                <w:rFonts w:ascii="Times New Roman" w:hAnsi="Times New Roman" w:cs="Times New Roman"/>
                <w:sz w:val="22"/>
              </w:rPr>
              <w:t>“Мати-героїня”</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00144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при народженні дитини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00143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00149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на дітей, над якими встановлено опіку чи піклування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на дітей одиноким матерям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226.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00147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при усиновленні дитини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00959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державної допомоги одному з батьків, </w:t>
            </w:r>
            <w:proofErr w:type="spellStart"/>
            <w:r w:rsidRPr="00D05BBA">
              <w:rPr>
                <w:rFonts w:ascii="Times New Roman" w:hAnsi="Times New Roman" w:cs="Times New Roman"/>
                <w:sz w:val="22"/>
              </w:rPr>
              <w:t>усиновлювачам</w:t>
            </w:r>
            <w:proofErr w:type="spellEnd"/>
            <w:r w:rsidRPr="00D05BBA">
              <w:rPr>
                <w:rFonts w:ascii="Times New Roman" w:hAnsi="Times New Roman" w:cs="Times New Roman"/>
                <w:sz w:val="22"/>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00960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допомоги на дітей, які виховуються у багатодітних сім’ях</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229.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01775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одноразової натуральної допомоги </w:t>
            </w:r>
            <w:proofErr w:type="spellStart"/>
            <w:r w:rsidRPr="00D05BBA">
              <w:rPr>
                <w:rFonts w:ascii="Times New Roman" w:hAnsi="Times New Roman" w:cs="Times New Roman"/>
                <w:sz w:val="22"/>
              </w:rPr>
              <w:t>“пакунок</w:t>
            </w:r>
            <w:proofErr w:type="spellEnd"/>
            <w:r w:rsidRPr="00D05BBA">
              <w:rPr>
                <w:rFonts w:ascii="Times New Roman" w:hAnsi="Times New Roman" w:cs="Times New Roman"/>
                <w:sz w:val="22"/>
              </w:rPr>
              <w:t xml:space="preserve"> </w:t>
            </w:r>
            <w:proofErr w:type="spellStart"/>
            <w:r w:rsidRPr="00D05BBA">
              <w:rPr>
                <w:rFonts w:ascii="Times New Roman" w:hAnsi="Times New Roman" w:cs="Times New Roman"/>
                <w:sz w:val="22"/>
              </w:rPr>
              <w:t>малюка”</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01227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Видача грошової компенсації вартості одноразової натуральної допомоги </w:t>
            </w:r>
            <w:proofErr w:type="spellStart"/>
            <w:r w:rsidRPr="00D05BBA">
              <w:rPr>
                <w:rFonts w:ascii="Times New Roman" w:hAnsi="Times New Roman" w:cs="Times New Roman"/>
                <w:sz w:val="22"/>
              </w:rPr>
              <w:t>“пакунок</w:t>
            </w:r>
            <w:proofErr w:type="spellEnd"/>
            <w:r w:rsidRPr="00D05BBA">
              <w:rPr>
                <w:rFonts w:ascii="Times New Roman" w:hAnsi="Times New Roman" w:cs="Times New Roman"/>
                <w:sz w:val="22"/>
              </w:rPr>
              <w:t xml:space="preserve"> </w:t>
            </w:r>
            <w:proofErr w:type="spellStart"/>
            <w:r w:rsidRPr="00D05BBA">
              <w:rPr>
                <w:rFonts w:ascii="Times New Roman" w:hAnsi="Times New Roman" w:cs="Times New Roman"/>
                <w:sz w:val="22"/>
              </w:rPr>
              <w:t>малюка”</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01405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Оплата послуг патронатного вихователя та виплата соціальної допомоги на утримання дитини в сім’ї патронатного вихователя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01386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sidRPr="00D05BBA">
              <w:rPr>
                <w:rFonts w:ascii="Times New Roman" w:hAnsi="Times New Roman" w:cs="Times New Roman"/>
                <w:sz w:val="22"/>
              </w:rPr>
              <w:t>“гроші</w:t>
            </w:r>
            <w:proofErr w:type="spellEnd"/>
            <w:r w:rsidRPr="00D05BBA">
              <w:rPr>
                <w:rFonts w:ascii="Times New Roman" w:hAnsi="Times New Roman" w:cs="Times New Roman"/>
                <w:sz w:val="22"/>
              </w:rPr>
              <w:t xml:space="preserve"> ходять за </w:t>
            </w:r>
            <w:proofErr w:type="spellStart"/>
            <w:r w:rsidRPr="00D05BBA">
              <w:rPr>
                <w:rFonts w:ascii="Times New Roman" w:hAnsi="Times New Roman" w:cs="Times New Roman"/>
                <w:sz w:val="22"/>
              </w:rPr>
              <w:t>дитиною”</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01265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01981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238.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239.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щодо відмови від майнових прав підопічного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стосовно укладення договорів щодо іншого цінного майна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опікуну на вчинення правочинів щодо видання письмових зобов’язань від імені підопічного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01980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00131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00130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00129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00168</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00239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Встановлення статусу учасника війни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00117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249.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00119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00242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посвідчення особам з інвалідністю з дитинства та дітям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251.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01255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особам з інвалідністю замість санаторно-курортної путівки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грошової компенсації вартості проїзду до санаторно-курортного закладу (відділення </w:t>
            </w:r>
            <w:proofErr w:type="spellStart"/>
            <w:r w:rsidRPr="00D05BBA">
              <w:rPr>
                <w:rFonts w:ascii="Times New Roman" w:hAnsi="Times New Roman" w:cs="Times New Roman"/>
                <w:sz w:val="22"/>
              </w:rPr>
              <w:t>спинального</w:t>
            </w:r>
            <w:proofErr w:type="spellEnd"/>
            <w:r w:rsidRPr="00D05BBA">
              <w:rPr>
                <w:rFonts w:ascii="Times New Roman" w:hAnsi="Times New Roman" w:cs="Times New Roman"/>
                <w:sz w:val="22"/>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вартості самостійного санаторно-курортного лікування осіб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00228</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fldChar w:fldCharType="begin"/>
            </w:r>
            <w:r>
              <w:instrText>HYPERLINK "https://zakon.rada.gov.ua/laws/show/3551-12"</w:instrText>
            </w:r>
            <w:r>
              <w:fldChar w:fldCharType="separate"/>
            </w:r>
            <w:r w:rsidRPr="00D05BBA">
              <w:rPr>
                <w:rFonts w:ascii="Times New Roman" w:hAnsi="Times New Roman" w:cs="Times New Roman"/>
                <w:color w:val="000099"/>
                <w:sz w:val="22"/>
                <w:u w:val="single"/>
              </w:rPr>
              <w:t>“Про</w:t>
            </w:r>
            <w:proofErr w:type="spellEnd"/>
            <w:r w:rsidRPr="00D05BBA">
              <w:rPr>
                <w:rFonts w:ascii="Times New Roman" w:hAnsi="Times New Roman" w:cs="Times New Roman"/>
                <w:color w:val="000099"/>
                <w:sz w:val="22"/>
                <w:u w:val="single"/>
              </w:rPr>
              <w:t xml:space="preserve"> статус ветеранів війни, гарантії їх соціального </w:t>
            </w:r>
            <w:proofErr w:type="spellStart"/>
            <w:r w:rsidRPr="00D05BBA">
              <w:rPr>
                <w:rFonts w:ascii="Times New Roman" w:hAnsi="Times New Roman" w:cs="Times New Roman"/>
                <w:color w:val="000099"/>
                <w:sz w:val="22"/>
                <w:u w:val="single"/>
              </w:rPr>
              <w:t>захисту”</w:t>
            </w:r>
            <w:proofErr w:type="spellEnd"/>
            <w:r>
              <w:fldChar w:fldCharType="end"/>
            </w:r>
            <w:r w:rsidRPr="00D05BBA">
              <w:rPr>
                <w:rFonts w:ascii="Times New Roman" w:hAnsi="Times New Roman" w:cs="Times New Roman"/>
                <w:sz w:val="22"/>
              </w:rPr>
              <w:t> та </w:t>
            </w:r>
            <w:proofErr w:type="spellStart"/>
            <w:r>
              <w:fldChar w:fldCharType="begin"/>
            </w:r>
            <w:r>
              <w:instrText>HYPERLINK "https://zakon.rada.gov.ua/laws/show/1584-14"</w:instrText>
            </w:r>
            <w:r>
              <w:fldChar w:fldCharType="separate"/>
            </w:r>
            <w:r w:rsidRPr="00D05BBA">
              <w:rPr>
                <w:rFonts w:ascii="Times New Roman" w:hAnsi="Times New Roman" w:cs="Times New Roman"/>
                <w:color w:val="000099"/>
                <w:sz w:val="22"/>
                <w:u w:val="single"/>
              </w:rPr>
              <w:t>“Про</w:t>
            </w:r>
            <w:proofErr w:type="spellEnd"/>
            <w:r w:rsidRPr="00D05BBA">
              <w:rPr>
                <w:rFonts w:ascii="Times New Roman" w:hAnsi="Times New Roman" w:cs="Times New Roman"/>
                <w:color w:val="000099"/>
                <w:sz w:val="22"/>
                <w:u w:val="single"/>
              </w:rPr>
              <w:t xml:space="preserve"> жертви нацистських </w:t>
            </w:r>
            <w:proofErr w:type="spellStart"/>
            <w:r w:rsidRPr="00D05BBA">
              <w:rPr>
                <w:rFonts w:ascii="Times New Roman" w:hAnsi="Times New Roman" w:cs="Times New Roman"/>
                <w:color w:val="000099"/>
                <w:sz w:val="22"/>
                <w:u w:val="single"/>
              </w:rPr>
              <w:t>переслідувань”</w:t>
            </w:r>
            <w:proofErr w:type="spellEnd"/>
            <w:r>
              <w:fldChar w:fldCharType="end"/>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259.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для забезпечення санаторно-курортним лікуванням (путівками) осіб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00229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соціальної допомоги особам з інвалідністю з дитинства та дітям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00103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w:t>
            </w:r>
            <w:r w:rsidRPr="00D05BBA">
              <w:rPr>
                <w:rFonts w:ascii="Times New Roman" w:hAnsi="Times New Roman" w:cs="Times New Roman"/>
                <w:sz w:val="22"/>
              </w:rPr>
              <w:lastRenderedPageBreak/>
              <w:t>потребує постійного стороннього догляду, на догляд за нею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264.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00099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соціальної допомоги на догляд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00096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соціальної допомоги особам, які не мають права на пенсію, та особам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00141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довідки для отримання пільг особам з інвалідністю, які не мають права на пенсію чи соціальну допомогу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надбавки на догляд за особами з інвалідністю з дитинства та дітьми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00230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269.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01404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Компенсація вартості продуктів харчування громадянам, які постраждали внаслідок Чорнобильської катастрофи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00232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00171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01191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00172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00170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275.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00112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одноразової грошової/матеріальної допомоги особам з інвалідністю та дітям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00133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державної соціальної допомоги малозабезпеченим сім’ям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01786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01268</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Повідомна реєстрація галузевих (міжгалузевих) і територіальних угод, колективних договорів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279.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01170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дозволу на застосування праці іноземців та осіб без громадянства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01172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змін до дозволу на застосування праці іноземців та осіб без громадянства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01173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Продовження дії дозволу на застосування праці іноземців та осіб без громадянства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01171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Скасування дозволу на застосування праці іноземців та осіб без громадянства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01974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пільги на оплату житла, комунальних послуг</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01601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громадянам статусу особи, яка проживає і працює (навчається) на території населеного пункту, якому надано статус гірського</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00243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Виплата одноразової матеріальної допомоги особам, які постраждали від торгівлі людьми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00101</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01732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w:t>
            </w:r>
            <w:proofErr w:type="spellStart"/>
            <w:r w:rsidRPr="00D05BBA">
              <w:rPr>
                <w:rFonts w:ascii="Times New Roman" w:hAnsi="Times New Roman" w:cs="Times New Roman"/>
                <w:sz w:val="22"/>
              </w:rPr>
              <w:t>коронавірусом</w:t>
            </w:r>
            <w:proofErr w:type="spellEnd"/>
            <w:r w:rsidRPr="00D05BBA">
              <w:rPr>
                <w:rFonts w:ascii="Times New Roman" w:hAnsi="Times New Roman" w:cs="Times New Roman"/>
                <w:sz w:val="22"/>
              </w:rPr>
              <w:t xml:space="preserve"> SARS-CoV-2, під час виконання професійних обов’язків в умовах підвищеного ризику зараження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288.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01733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w:t>
            </w:r>
            <w:proofErr w:type="spellStart"/>
            <w:r w:rsidRPr="00D05BBA">
              <w:rPr>
                <w:rFonts w:ascii="Times New Roman" w:hAnsi="Times New Roman" w:cs="Times New Roman"/>
                <w:sz w:val="22"/>
              </w:rPr>
              <w:t>коронавірусом</w:t>
            </w:r>
            <w:proofErr w:type="spellEnd"/>
            <w:r w:rsidRPr="00D05BBA">
              <w:rPr>
                <w:rFonts w:ascii="Times New Roman" w:hAnsi="Times New Roman" w:cs="Times New Roman"/>
                <w:sz w:val="22"/>
              </w:rPr>
              <w:t xml:space="preserve"> SARS-CoV-2, під час виконання професійних обов’язків в умовах підвищеного </w:t>
            </w:r>
            <w:r w:rsidRPr="00D05BBA">
              <w:rPr>
                <w:rFonts w:ascii="Times New Roman" w:hAnsi="Times New Roman" w:cs="Times New Roman"/>
                <w:sz w:val="22"/>
              </w:rPr>
              <w:lastRenderedPageBreak/>
              <w:t>ризику зараження</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289.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01688</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01730</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00139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Прийняття рішення щодо надання соціальних послуг</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02025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00157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пільги на придбання палива, у тому числі рідкого, скрапленого балонного газу для побутових потреб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01995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01997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рішення про направлення на комплексну реабілітацію (</w:t>
            </w:r>
            <w:proofErr w:type="spellStart"/>
            <w:r w:rsidRPr="00D05BBA">
              <w:rPr>
                <w:rFonts w:ascii="Times New Roman" w:hAnsi="Times New Roman" w:cs="Times New Roman"/>
                <w:sz w:val="22"/>
              </w:rPr>
              <w:t>абілітацію</w:t>
            </w:r>
            <w:proofErr w:type="spellEnd"/>
            <w:r w:rsidRPr="00D05BBA">
              <w:rPr>
                <w:rFonts w:ascii="Times New Roman" w:hAnsi="Times New Roman" w:cs="Times New Roman"/>
                <w:sz w:val="22"/>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01996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Забезпечення направлення до реабілітаційної установи для надання реабілітаційних послуг дітям з інвалідністю за програмою </w:t>
            </w:r>
            <w:proofErr w:type="spellStart"/>
            <w:r w:rsidRPr="00D05BBA">
              <w:rPr>
                <w:rFonts w:ascii="Times New Roman" w:hAnsi="Times New Roman" w:cs="Times New Roman"/>
                <w:sz w:val="22"/>
              </w:rPr>
              <w:t>“Реабілітація</w:t>
            </w:r>
            <w:proofErr w:type="spellEnd"/>
            <w:r w:rsidRPr="00D05BBA">
              <w:rPr>
                <w:rFonts w:ascii="Times New Roman" w:hAnsi="Times New Roman" w:cs="Times New Roman"/>
                <w:sz w:val="22"/>
              </w:rPr>
              <w:t xml:space="preserve"> дітей з </w:t>
            </w:r>
            <w:proofErr w:type="spellStart"/>
            <w:r w:rsidRPr="00D05BBA">
              <w:rPr>
                <w:rFonts w:ascii="Times New Roman" w:hAnsi="Times New Roman" w:cs="Times New Roman"/>
                <w:sz w:val="22"/>
              </w:rPr>
              <w:t>інвалідністю”</w:t>
            </w:r>
            <w:proofErr w:type="spellEnd"/>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01113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299.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01155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Проведення державної атестації дитячих закладів оздоровлення та відпочинку і присвоєння їм відповідної категорії</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300.</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01253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 xml:space="preserve">Присвоєння спортивних розрядів спортсменам: </w:t>
            </w:r>
            <w:proofErr w:type="spellStart"/>
            <w:r w:rsidRPr="00D05BBA">
              <w:rPr>
                <w:rFonts w:ascii="Times New Roman" w:hAnsi="Times New Roman" w:cs="Times New Roman"/>
                <w:sz w:val="22"/>
              </w:rPr>
              <w:t>“Кандидат</w:t>
            </w:r>
            <w:proofErr w:type="spellEnd"/>
            <w:r w:rsidRPr="00D05BBA">
              <w:rPr>
                <w:rFonts w:ascii="Times New Roman" w:hAnsi="Times New Roman" w:cs="Times New Roman"/>
                <w:sz w:val="22"/>
              </w:rPr>
              <w:t xml:space="preserve"> у майстри спорту </w:t>
            </w:r>
            <w:proofErr w:type="spellStart"/>
            <w:r w:rsidRPr="00D05BBA">
              <w:rPr>
                <w:rFonts w:ascii="Times New Roman" w:hAnsi="Times New Roman" w:cs="Times New Roman"/>
                <w:sz w:val="22"/>
              </w:rPr>
              <w:t>України”</w:t>
            </w:r>
            <w:proofErr w:type="spellEnd"/>
            <w:r w:rsidRPr="00D05BBA">
              <w:rPr>
                <w:rFonts w:ascii="Times New Roman" w:hAnsi="Times New Roman" w:cs="Times New Roman"/>
                <w:sz w:val="22"/>
              </w:rPr>
              <w:t xml:space="preserve"> та I спортивний розряд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301.</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01252</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Присвоєння спортивних розрядів спортсменам: II та III спортивний розряд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302.</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01697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кваліфікаційного свідоцтва сільськогосподарського дорадника, сільськогосподарського експерта-дорадника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303.</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01454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Реєстрація пасіки</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304.</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01135</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сертифіката племінних (генетичних) ресурсів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305.</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01136</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договорів (контрактів) про спільну інвестиційну діяльність за участю іноземного інвестора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306.</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01137</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Видача дубліката картки реєстрації договору (контракту) про спільну інвестиційну діяльність за участю іноземного інвестора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307.</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01139</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Державна реєстрація змін і доповнень до договорів (контрактів) про спільну інвестиційну діяльність за участю іноземного інвестора</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308.</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02263</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309.</w:t>
            </w:r>
          </w:p>
        </w:tc>
        <w:tc>
          <w:tcPr>
            <w:tcW w:w="2204" w:type="dxa"/>
            <w:tcBorders>
              <w:top w:val="nil"/>
              <w:left w:val="single" w:sz="6" w:space="0" w:color="000001"/>
              <w:bottom w:val="single" w:sz="6" w:space="0" w:color="000001"/>
              <w:right w:val="nil"/>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02264</w:t>
            </w:r>
          </w:p>
          <w:p w:rsidR="00990608" w:rsidRPr="00D05BBA" w:rsidRDefault="00990608" w:rsidP="0011357B">
            <w:pPr>
              <w:pStyle w:val="cef1edeee2edeee9f2e5eaf1f2"/>
              <w:spacing w:before="150" w:after="150"/>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spacing w:before="150" w:after="150"/>
              <w:rPr>
                <w:rFonts w:ascii="Times New Roman" w:hAnsi="Times New Roman" w:cs="Times New Roman"/>
              </w:rPr>
            </w:pPr>
            <w:r w:rsidRPr="00D05BBA">
              <w:rPr>
                <w:rFonts w:ascii="Times New Roman" w:hAnsi="Times New Roman" w:cs="Times New Roman"/>
                <w:sz w:val="22"/>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310.</w:t>
            </w:r>
          </w:p>
        </w:tc>
        <w:tc>
          <w:tcPr>
            <w:tcW w:w="2204" w:type="dxa"/>
            <w:tcBorders>
              <w:top w:val="nil"/>
              <w:left w:val="single" w:sz="6" w:space="0" w:color="000001"/>
              <w:bottom w:val="single" w:sz="6" w:space="0" w:color="000001"/>
              <w:right w:val="nil"/>
            </w:tcBorders>
          </w:tcPr>
          <w:p w:rsidR="00990608" w:rsidRPr="00D05BBA" w:rsidRDefault="00990608" w:rsidP="0011357B">
            <w:pPr>
              <w:pStyle w:val="d1eee4e5f0e6e8eceee5f2e0e1ebe8f6fb"/>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jc w:val="center"/>
              <w:rPr>
                <w:rFonts w:ascii="Times New Roman" w:hAnsi="Times New Roman" w:cs="Times New Roman"/>
              </w:rPr>
            </w:pPr>
            <w:r w:rsidRPr="00D05BBA">
              <w:rPr>
                <w:rFonts w:ascii="Times New Roman" w:hAnsi="Times New Roman" w:cs="Times New Roman"/>
                <w:sz w:val="22"/>
              </w:rPr>
              <w:t>Довідка про зареєстрованих у житловому приміщенні/будинку осіб</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311.</w:t>
            </w:r>
          </w:p>
        </w:tc>
        <w:tc>
          <w:tcPr>
            <w:tcW w:w="2204" w:type="dxa"/>
            <w:tcBorders>
              <w:top w:val="nil"/>
              <w:left w:val="single" w:sz="6" w:space="0" w:color="000001"/>
              <w:bottom w:val="single" w:sz="6" w:space="0" w:color="000001"/>
              <w:right w:val="nil"/>
            </w:tcBorders>
          </w:tcPr>
          <w:p w:rsidR="00990608" w:rsidRPr="00D05BBA" w:rsidRDefault="00990608" w:rsidP="0011357B">
            <w:pPr>
              <w:pStyle w:val="d1eee4e5f0e6e8eceee5f2e0e1ebe8f6fb"/>
              <w:spacing w:before="150" w:after="150"/>
              <w:jc w:val="center"/>
              <w:rPr>
                <w:rFonts w:ascii="Times New Roman" w:hAnsi="Times New Roman" w:cs="Times New Roman"/>
                <w:sz w:val="22"/>
              </w:rPr>
            </w:pP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rPr>
                <w:rFonts w:ascii="Times New Roman" w:hAnsi="Times New Roman" w:cs="Times New Roman"/>
              </w:rPr>
            </w:pPr>
            <w:r w:rsidRPr="00D05BBA">
              <w:rPr>
                <w:rFonts w:ascii="Times New Roman" w:hAnsi="Times New Roman" w:cs="Times New Roman"/>
                <w:sz w:val="22"/>
              </w:rPr>
              <w:t xml:space="preserve">Видача соціальної картки пільговика для проїзду в міському громадському </w:t>
            </w:r>
            <w:r w:rsidRPr="00D05BBA">
              <w:rPr>
                <w:rFonts w:ascii="Times New Roman" w:hAnsi="Times New Roman" w:cs="Times New Roman"/>
                <w:sz w:val="22"/>
              </w:rPr>
              <w:tab/>
              <w:t>транспорті</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312.</w:t>
            </w:r>
          </w:p>
        </w:tc>
        <w:tc>
          <w:tcPr>
            <w:tcW w:w="2204" w:type="dxa"/>
            <w:tcBorders>
              <w:top w:val="nil"/>
              <w:left w:val="single" w:sz="6" w:space="0" w:color="000001"/>
              <w:bottom w:val="single" w:sz="6" w:space="0" w:color="000001"/>
              <w:right w:val="nil"/>
            </w:tcBorders>
          </w:tcPr>
          <w:p w:rsidR="00990608" w:rsidRPr="00D05BBA" w:rsidRDefault="00990608" w:rsidP="0011357B">
            <w:pPr>
              <w:pStyle w:val="d1eee4e5f0e6e8eceee5f2e0e1ebe8f6fb"/>
              <w:spacing w:before="150" w:after="150"/>
              <w:jc w:val="center"/>
              <w:rPr>
                <w:rFonts w:ascii="Times New Roman" w:hAnsi="Times New Roman" w:cs="Times New Roman"/>
              </w:rPr>
            </w:pPr>
            <w:r w:rsidRPr="00D05BBA">
              <w:rPr>
                <w:rFonts w:ascii="Times New Roman" w:hAnsi="Times New Roman" w:cs="Times New Roman"/>
                <w:sz w:val="22"/>
              </w:rPr>
              <w:t>01428</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pStyle w:val="cef1edeee2edeee9f2e5eaf1f2"/>
              <w:rPr>
                <w:rFonts w:ascii="Times New Roman" w:hAnsi="Times New Roman" w:cs="Times New Roman"/>
              </w:rPr>
            </w:pPr>
            <w:r w:rsidRPr="00D05BBA">
              <w:rPr>
                <w:rFonts w:ascii="Times New Roman" w:hAnsi="Times New Roman" w:cs="Times New Roman"/>
                <w:sz w:val="22"/>
              </w:rPr>
              <w:t>Взяття на облік та видача направлення для дітей до дитячих закладів оздоровлення та відпочинку</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313.</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8476</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rPr>
                <w:rFonts w:ascii="Times New Roman" w:hAnsi="Times New Roman" w:cs="Times New Roman"/>
              </w:rPr>
            </w:pPr>
            <w:r w:rsidRPr="00D05BBA">
              <w:rPr>
                <w:rFonts w:ascii="Times New Roman" w:eastAsia="MS Mincho" w:hAnsi="Times New Roman" w:cs="Times New Roman"/>
              </w:rPr>
              <w:t xml:space="preserve"> Встановлення режиму роботи стаціонарних об’єктів торгівлі, ресторанного господарства та сфери послуг</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314.</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 xml:space="preserve">8476 </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rPr>
                <w:rFonts w:ascii="Times New Roman" w:hAnsi="Times New Roman" w:cs="Times New Roman"/>
              </w:rPr>
            </w:pPr>
            <w:r w:rsidRPr="00D05BBA">
              <w:rPr>
                <w:rFonts w:ascii="Times New Roman" w:eastAsia="MS Mincho" w:hAnsi="Times New Roman" w:cs="Times New Roman"/>
              </w:rPr>
              <w:t xml:space="preserve">Встановлення режиму роботи об’єктів торгівлі, ресторанного господарства та сфери послуг, розміщених у кіосках та торгівельних павільйонах </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315.</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8486</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rPr>
                <w:rFonts w:ascii="Times New Roman" w:hAnsi="Times New Roman" w:cs="Times New Roman"/>
              </w:rPr>
            </w:pPr>
            <w:r w:rsidRPr="00D05BBA">
              <w:rPr>
                <w:rFonts w:ascii="Times New Roman" w:eastAsia="MS Mincho" w:hAnsi="Times New Roman" w:cs="Times New Roman"/>
              </w:rPr>
              <w:t xml:space="preserve"> Продовження терміну дії режиму роботи об’єктів торгівлі, ресторанного господарства та сфери послуг, розміщених у кіосках та торгівельних павільйонах </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316.</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01986</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rPr>
                <w:rFonts w:ascii="Times New Roman" w:hAnsi="Times New Roman" w:cs="Times New Roman"/>
              </w:rPr>
            </w:pPr>
            <w:r w:rsidRPr="00D05BBA">
              <w:rPr>
                <w:rFonts w:ascii="Times New Roman" w:eastAsia="MS Mincho" w:hAnsi="Times New Roman" w:cs="Times New Roman"/>
              </w:rPr>
              <w:t xml:space="preserve"> Встановленням режиму роботи об’єктів дрібно роздрібної мережі з </w:t>
            </w:r>
            <w:r w:rsidRPr="00D05BBA">
              <w:rPr>
                <w:rFonts w:ascii="Times New Roman" w:eastAsia="MS Mincho" w:hAnsi="Times New Roman" w:cs="Times New Roman"/>
              </w:rPr>
              <w:lastRenderedPageBreak/>
              <w:t xml:space="preserve">тимчасових споруд та літніх майданчиків </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lastRenderedPageBreak/>
              <w:t>317.</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01985</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rPr>
                <w:rFonts w:ascii="Times New Roman" w:hAnsi="Times New Roman" w:cs="Times New Roman"/>
              </w:rPr>
            </w:pPr>
            <w:r w:rsidRPr="00D05BBA">
              <w:rPr>
                <w:rFonts w:ascii="Times New Roman" w:eastAsia="MS Mincho" w:hAnsi="Times New Roman" w:cs="Times New Roman"/>
              </w:rPr>
              <w:t>Встановлення режиму роботи для здійснення одноразової (одноденної) діяльності у дрібно роздрібній мережі з тимчасових споруд</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318.</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 xml:space="preserve">01407 </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Дублікат режиму роботи об’єктів торгівлі, ресторанного господарства та сфери послуг</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319.</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01407</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 xml:space="preserve"> Переоформлення режиму роботи об’єктів торгівлі, ресторанного господарства та сфери послуг(при реорганізації юридичної особи з правонаступництвом)</w:t>
            </w:r>
          </w:p>
        </w:tc>
      </w:tr>
      <w:tr w:rsidR="00990608" w:rsidRPr="00D05BBA" w:rsidTr="0011357B">
        <w:tc>
          <w:tcPr>
            <w:tcW w:w="1019" w:type="dxa"/>
            <w:tcBorders>
              <w:top w:val="nil"/>
              <w:left w:val="single" w:sz="6" w:space="0" w:color="000001"/>
              <w:bottom w:val="single" w:sz="6" w:space="0" w:color="000001"/>
              <w:right w:val="nil"/>
            </w:tcBorders>
          </w:tcPr>
          <w:p w:rsidR="00990608" w:rsidRPr="00D05BBA" w:rsidRDefault="00990608" w:rsidP="0011357B">
            <w:pPr>
              <w:pStyle w:val="d1eee4e5f0e6e8eceee5f2e0e1ebe8f6fb"/>
              <w:jc w:val="center"/>
              <w:rPr>
                <w:rFonts w:ascii="Times New Roman" w:hAnsi="Times New Roman" w:cs="Times New Roman"/>
              </w:rPr>
            </w:pPr>
            <w:r w:rsidRPr="00D05BBA">
              <w:rPr>
                <w:rFonts w:ascii="Times New Roman" w:hAnsi="Times New Roman" w:cs="Times New Roman"/>
                <w:sz w:val="22"/>
              </w:rPr>
              <w:t>320.</w:t>
            </w:r>
          </w:p>
        </w:tc>
        <w:tc>
          <w:tcPr>
            <w:tcW w:w="2204" w:type="dxa"/>
            <w:tcBorders>
              <w:top w:val="nil"/>
              <w:left w:val="single" w:sz="6" w:space="0" w:color="000001"/>
              <w:bottom w:val="single" w:sz="6" w:space="0" w:color="000001"/>
              <w:right w:val="nil"/>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01407</w:t>
            </w:r>
          </w:p>
        </w:tc>
        <w:tc>
          <w:tcPr>
            <w:tcW w:w="6932" w:type="dxa"/>
            <w:tcBorders>
              <w:top w:val="nil"/>
              <w:left w:val="single" w:sz="6" w:space="0" w:color="000001"/>
              <w:bottom w:val="single" w:sz="6" w:space="0" w:color="000001"/>
              <w:right w:val="single" w:sz="6" w:space="0" w:color="000001"/>
            </w:tcBorders>
          </w:tcPr>
          <w:p w:rsidR="00990608" w:rsidRPr="00D05BBA" w:rsidRDefault="00990608" w:rsidP="0011357B">
            <w:pPr>
              <w:spacing w:after="140" w:line="288" w:lineRule="auto"/>
              <w:jc w:val="center"/>
              <w:rPr>
                <w:rFonts w:ascii="Times New Roman" w:hAnsi="Times New Roman" w:cs="Times New Roman"/>
              </w:rPr>
            </w:pPr>
            <w:r w:rsidRPr="00D05BBA">
              <w:rPr>
                <w:rFonts w:ascii="Times New Roman" w:eastAsia="MS Mincho" w:hAnsi="Times New Roman" w:cs="Times New Roman"/>
              </w:rPr>
              <w:t>Встановлення нового режиму роботи об’єктів торгівлі, ресторанного господарства та сфери послуг (у разі зміни суб’єктом господарювання встановленого режиму роботи)</w:t>
            </w:r>
          </w:p>
        </w:tc>
      </w:tr>
    </w:tbl>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pStyle w:val="cef1edeee2edeee9f2e5eaf1f2"/>
        <w:rPr>
          <w:rFonts w:ascii="Times New Roman" w:hAnsi="Times New Roman" w:cs="Times New Roman"/>
        </w:rPr>
      </w:pPr>
      <w:r w:rsidRPr="00D05BBA">
        <w:rPr>
          <w:rFonts w:ascii="Times New Roman" w:hAnsi="Times New Roman" w:cs="Times New Roman"/>
          <w:b/>
          <w:sz w:val="26"/>
        </w:rPr>
        <w:t xml:space="preserve">  Керуюча справами міськвиконкому</w:t>
      </w:r>
      <w:r w:rsidRPr="00D05BBA">
        <w:rPr>
          <w:rFonts w:ascii="Times New Roman" w:hAnsi="Times New Roman" w:cs="Times New Roman"/>
          <w:b/>
          <w:sz w:val="26"/>
        </w:rPr>
        <w:tab/>
      </w:r>
      <w:r w:rsidRPr="00D05BBA">
        <w:rPr>
          <w:rFonts w:ascii="Times New Roman" w:hAnsi="Times New Roman" w:cs="Times New Roman"/>
          <w:b/>
          <w:sz w:val="26"/>
        </w:rPr>
        <w:tab/>
      </w:r>
      <w:r w:rsidRPr="00D05BBA">
        <w:rPr>
          <w:rFonts w:ascii="Times New Roman" w:hAnsi="Times New Roman" w:cs="Times New Roman"/>
          <w:b/>
          <w:sz w:val="26"/>
        </w:rPr>
        <w:tab/>
        <w:t xml:space="preserve">Оксана </w:t>
      </w:r>
      <w:proofErr w:type="spellStart"/>
      <w:r w:rsidRPr="00D05BBA">
        <w:rPr>
          <w:rFonts w:ascii="Times New Roman" w:hAnsi="Times New Roman" w:cs="Times New Roman"/>
          <w:b/>
          <w:sz w:val="26"/>
        </w:rPr>
        <w:t>Затварницька</w:t>
      </w:r>
      <w:proofErr w:type="spellEnd"/>
      <w:r w:rsidRPr="00D05BBA">
        <w:rPr>
          <w:rFonts w:ascii="Times New Roman" w:hAnsi="Times New Roman" w:cs="Times New Roman"/>
        </w:rPr>
        <w:tab/>
      </w: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jc w:val="both"/>
        <w:rPr>
          <w:rFonts w:ascii="Times New Roman" w:hAnsi="Times New Roman" w:cs="Times New Roman"/>
        </w:rPr>
      </w:pPr>
    </w:p>
    <w:p w:rsidR="00990608" w:rsidRPr="00D05BBA" w:rsidRDefault="00990608" w:rsidP="00990608">
      <w:pPr>
        <w:shd w:val="clear" w:color="auto" w:fill="FFFFFF"/>
        <w:spacing w:after="360" w:line="240" w:lineRule="auto"/>
        <w:rPr>
          <w:rFonts w:ascii="Times New Roman" w:eastAsia="Times New Roman" w:hAnsi="Times New Roman" w:cs="Times New Roman"/>
          <w:b/>
          <w:color w:val="000000" w:themeColor="text1"/>
          <w:sz w:val="26"/>
          <w:szCs w:val="26"/>
        </w:rPr>
      </w:pPr>
    </w:p>
    <w:p w:rsidR="00C747B7" w:rsidRDefault="00C747B7"/>
    <w:sectPr w:rsidR="00C747B7" w:rsidSect="001176E9">
      <w:pgSz w:w="11906" w:h="16838"/>
      <w:pgMar w:top="850" w:right="850" w:bottom="850"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useFELayout/>
  </w:compat>
  <w:rsids>
    <w:rsidRoot w:val="00990608"/>
    <w:rsid w:val="00990608"/>
    <w:rsid w:val="00C747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semiHidden/>
    <w:qFormat/>
    <w:rsid w:val="00990608"/>
    <w:rPr>
      <w:rFonts w:ascii="Courier New" w:eastAsia="Times New Roman" w:hAnsi="Courier New" w:cs="Courier New"/>
      <w:sz w:val="20"/>
      <w:szCs w:val="20"/>
    </w:rPr>
  </w:style>
  <w:style w:type="paragraph" w:customStyle="1" w:styleId="a3">
    <w:name w:val="Заголовок"/>
    <w:basedOn w:val="a"/>
    <w:next w:val="a4"/>
    <w:qFormat/>
    <w:rsid w:val="00990608"/>
    <w:pPr>
      <w:keepNext/>
      <w:spacing w:before="240" w:after="120"/>
    </w:pPr>
    <w:rPr>
      <w:rFonts w:ascii="Liberation Sans" w:eastAsia="Microsoft YaHei" w:hAnsi="Liberation Sans" w:cs="Mangal"/>
      <w:color w:val="00000A"/>
      <w:sz w:val="28"/>
      <w:szCs w:val="28"/>
    </w:rPr>
  </w:style>
  <w:style w:type="paragraph" w:styleId="a4">
    <w:name w:val="Body Text"/>
    <w:basedOn w:val="a"/>
    <w:link w:val="a5"/>
    <w:rsid w:val="00990608"/>
    <w:pPr>
      <w:spacing w:after="140" w:line="288" w:lineRule="auto"/>
    </w:pPr>
    <w:rPr>
      <w:color w:val="00000A"/>
    </w:rPr>
  </w:style>
  <w:style w:type="character" w:customStyle="1" w:styleId="a5">
    <w:name w:val="Основной текст Знак"/>
    <w:basedOn w:val="a0"/>
    <w:link w:val="a4"/>
    <w:rsid w:val="00990608"/>
    <w:rPr>
      <w:color w:val="00000A"/>
    </w:rPr>
  </w:style>
  <w:style w:type="paragraph" w:styleId="a6">
    <w:name w:val="List"/>
    <w:basedOn w:val="a4"/>
    <w:rsid w:val="00990608"/>
    <w:rPr>
      <w:rFonts w:cs="Mangal"/>
    </w:rPr>
  </w:style>
  <w:style w:type="paragraph" w:styleId="a7">
    <w:name w:val="Title"/>
    <w:basedOn w:val="a"/>
    <w:link w:val="a8"/>
    <w:rsid w:val="00990608"/>
    <w:pPr>
      <w:suppressLineNumbers/>
      <w:spacing w:before="120" w:after="120"/>
    </w:pPr>
    <w:rPr>
      <w:rFonts w:cs="Mangal"/>
      <w:i/>
      <w:iCs/>
      <w:color w:val="00000A"/>
      <w:sz w:val="24"/>
      <w:szCs w:val="24"/>
    </w:rPr>
  </w:style>
  <w:style w:type="character" w:customStyle="1" w:styleId="a8">
    <w:name w:val="Название Знак"/>
    <w:basedOn w:val="a0"/>
    <w:link w:val="a7"/>
    <w:rsid w:val="00990608"/>
    <w:rPr>
      <w:rFonts w:cs="Mangal"/>
      <w:i/>
      <w:iCs/>
      <w:color w:val="00000A"/>
      <w:sz w:val="24"/>
      <w:szCs w:val="24"/>
    </w:rPr>
  </w:style>
  <w:style w:type="paragraph" w:styleId="1">
    <w:name w:val="index 1"/>
    <w:basedOn w:val="a"/>
    <w:next w:val="a"/>
    <w:autoRedefine/>
    <w:uiPriority w:val="99"/>
    <w:semiHidden/>
    <w:unhideWhenUsed/>
    <w:rsid w:val="00990608"/>
    <w:pPr>
      <w:spacing w:after="0" w:line="240" w:lineRule="auto"/>
      <w:ind w:left="220" w:hanging="220"/>
    </w:pPr>
  </w:style>
  <w:style w:type="paragraph" w:styleId="a9">
    <w:name w:val="index heading"/>
    <w:basedOn w:val="a"/>
    <w:qFormat/>
    <w:rsid w:val="00990608"/>
    <w:pPr>
      <w:suppressLineNumbers/>
    </w:pPr>
    <w:rPr>
      <w:rFonts w:cs="Mangal"/>
      <w:color w:val="00000A"/>
    </w:rPr>
  </w:style>
  <w:style w:type="paragraph" w:styleId="aa">
    <w:name w:val="Normal (Web)"/>
    <w:basedOn w:val="a"/>
    <w:uiPriority w:val="99"/>
    <w:unhideWhenUsed/>
    <w:qFormat/>
    <w:rsid w:val="00990608"/>
    <w:pPr>
      <w:spacing w:beforeAutospacing="1" w:afterAutospacing="1" w:line="240" w:lineRule="auto"/>
    </w:pPr>
    <w:rPr>
      <w:rFonts w:ascii="Times New Roman" w:eastAsia="Times New Roman" w:hAnsi="Times New Roman" w:cs="Times New Roman"/>
      <w:color w:val="00000A"/>
      <w:sz w:val="24"/>
      <w:szCs w:val="24"/>
    </w:rPr>
  </w:style>
  <w:style w:type="paragraph" w:styleId="HTML0">
    <w:name w:val="HTML Preformatted"/>
    <w:basedOn w:val="a"/>
    <w:link w:val="HTML1"/>
    <w:uiPriority w:val="99"/>
    <w:semiHidden/>
    <w:unhideWhenUsed/>
    <w:qFormat/>
    <w:rsid w:val="0099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A"/>
      <w:sz w:val="20"/>
      <w:szCs w:val="20"/>
    </w:rPr>
  </w:style>
  <w:style w:type="character" w:customStyle="1" w:styleId="HTML1">
    <w:name w:val="Стандартный HTML Знак1"/>
    <w:basedOn w:val="a0"/>
    <w:link w:val="HTML0"/>
    <w:uiPriority w:val="99"/>
    <w:semiHidden/>
    <w:rsid w:val="00990608"/>
    <w:rPr>
      <w:rFonts w:ascii="Courier New" w:eastAsia="Times New Roman" w:hAnsi="Courier New" w:cs="Courier New"/>
      <w:color w:val="00000A"/>
      <w:sz w:val="20"/>
      <w:szCs w:val="20"/>
    </w:rPr>
  </w:style>
  <w:style w:type="paragraph" w:styleId="ab">
    <w:name w:val="List Paragraph"/>
    <w:basedOn w:val="a"/>
    <w:uiPriority w:val="34"/>
    <w:qFormat/>
    <w:rsid w:val="00990608"/>
    <w:pPr>
      <w:spacing w:after="160" w:line="259" w:lineRule="auto"/>
      <w:ind w:left="720"/>
      <w:contextualSpacing/>
    </w:pPr>
    <w:rPr>
      <w:rFonts w:eastAsiaTheme="minorHAnsi"/>
      <w:color w:val="00000A"/>
      <w:lang w:eastAsia="en-US"/>
    </w:rPr>
  </w:style>
  <w:style w:type="character" w:customStyle="1" w:styleId="c8edf2e5f0ede5f2-f1f1fbebeae0">
    <w:name w:val="Иc8нedтf2еe5рf0нedеe5тf2-сf1сf1ыfbлebкeaаe0"/>
    <w:uiPriority w:val="99"/>
    <w:rsid w:val="00990608"/>
    <w:rPr>
      <w:color w:val="000080"/>
      <w:u w:val="single"/>
    </w:rPr>
  </w:style>
  <w:style w:type="paragraph" w:customStyle="1" w:styleId="c7e0e3eeebeee2eeea">
    <w:name w:val="Зc7аe0гe3оeeлebоeeвe2оeeкea"/>
    <w:basedOn w:val="a"/>
    <w:next w:val="cef1edeee2edeee9f2e5eaf1f2"/>
    <w:uiPriority w:val="99"/>
    <w:rsid w:val="00990608"/>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bidi="hi-IN"/>
    </w:rPr>
  </w:style>
  <w:style w:type="paragraph" w:customStyle="1" w:styleId="cef1edeee2edeee9f2e5eaf1f2">
    <w:name w:val="Оceсf1нedоeeвe2нedоeeйe9 тf2еe5кeaсf1тf2"/>
    <w:basedOn w:val="a"/>
    <w:uiPriority w:val="99"/>
    <w:rsid w:val="00990608"/>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bidi="hi-IN"/>
    </w:rPr>
  </w:style>
  <w:style w:type="paragraph" w:customStyle="1" w:styleId="d1efe8f1eeea">
    <w:name w:val="Сd1пefиe8сf1оeeкea"/>
    <w:basedOn w:val="cef1edeee2edeee9f2e5eaf1f2"/>
    <w:uiPriority w:val="99"/>
    <w:rsid w:val="00990608"/>
  </w:style>
  <w:style w:type="paragraph" w:customStyle="1" w:styleId="cde0e7e2e0ede8e5">
    <w:name w:val="Нcdаe0зe7вe2аe0нedиe8еe5"/>
    <w:basedOn w:val="a"/>
    <w:uiPriority w:val="99"/>
    <w:rsid w:val="00990608"/>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bidi="hi-IN"/>
    </w:rPr>
  </w:style>
  <w:style w:type="paragraph" w:customStyle="1" w:styleId="d3eae0e7e0f2e5ebfc">
    <w:name w:val="Уd3кeaаe0зe7аe0тf2еe5лebьfc"/>
    <w:basedOn w:val="a"/>
    <w:uiPriority w:val="99"/>
    <w:rsid w:val="00990608"/>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bidi="hi-IN"/>
    </w:rPr>
  </w:style>
  <w:style w:type="paragraph" w:customStyle="1" w:styleId="d1eee4e5f0e6e8eceee5f2e0e1ebe8f6fb">
    <w:name w:val="Сd1оeeдe4еe5рf0жe6иe8мecоeeеe5 тf2аe0бe1лebиe8цf6ыfb"/>
    <w:basedOn w:val="a"/>
    <w:uiPriority w:val="99"/>
    <w:rsid w:val="00990608"/>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bidi="hi-IN"/>
    </w:rPr>
  </w:style>
  <w:style w:type="paragraph" w:customStyle="1" w:styleId="c7e0e3eeebeee2eeeaf2e0e1ebe8f6fb">
    <w:name w:val="Зc7аe0гe3оeeлebоeeвe2оeeкea тf2аe0бe1лebиe8цf6ыfb"/>
    <w:basedOn w:val="d1eee4e5f0e6e8eceee5f2e0e1ebe8f6fb"/>
    <w:uiPriority w:val="99"/>
    <w:rsid w:val="00990608"/>
  </w:style>
  <w:style w:type="paragraph" w:styleId="ac">
    <w:name w:val="Balloon Text"/>
    <w:basedOn w:val="a"/>
    <w:link w:val="ad"/>
    <w:uiPriority w:val="99"/>
    <w:semiHidden/>
    <w:unhideWhenUsed/>
    <w:rsid w:val="00990608"/>
    <w:pPr>
      <w:spacing w:after="0" w:line="240" w:lineRule="auto"/>
    </w:pPr>
    <w:rPr>
      <w:rFonts w:ascii="Tahoma" w:hAnsi="Tahoma" w:cs="Tahoma"/>
      <w:color w:val="00000A"/>
      <w:sz w:val="16"/>
      <w:szCs w:val="16"/>
    </w:rPr>
  </w:style>
  <w:style w:type="character" w:customStyle="1" w:styleId="ad">
    <w:name w:val="Текст выноски Знак"/>
    <w:basedOn w:val="a0"/>
    <w:link w:val="ac"/>
    <w:uiPriority w:val="99"/>
    <w:semiHidden/>
    <w:rsid w:val="00990608"/>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29428</Words>
  <Characters>16774</Characters>
  <Application>Microsoft Office Word</Application>
  <DocSecurity>0</DocSecurity>
  <Lines>139</Lines>
  <Paragraphs>92</Paragraphs>
  <ScaleCrop>false</ScaleCrop>
  <Company>Reanimator Extreme Edition</Company>
  <LinksUpToDate>false</LinksUpToDate>
  <CharactersWithSpaces>46110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2022-10-17T12:51:00Z</dcterms:created>
  <dcterms:modified xsi:type="dcterms:W3CDTF">2022-10-17T12:51:00Z</dcterms:modified>
</cp:coreProperties>
</file>