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9C" w:rsidRPr="00895D9C" w:rsidRDefault="00895D9C" w:rsidP="00895D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95D9C">
        <w:rPr>
          <w:rFonts w:ascii="Times New Roman" w:hAnsi="Times New Roman" w:cs="Times New Roman"/>
        </w:rPr>
        <w:t>Додаток №1</w:t>
      </w:r>
    </w:p>
    <w:p w:rsidR="00895D9C" w:rsidRPr="00895D9C" w:rsidRDefault="00895D9C" w:rsidP="00895D9C">
      <w:pPr>
        <w:spacing w:after="0"/>
        <w:ind w:left="5040"/>
        <w:rPr>
          <w:rFonts w:ascii="Times New Roman" w:hAnsi="Times New Roman" w:cs="Times New Roman"/>
        </w:rPr>
      </w:pPr>
      <w:r w:rsidRPr="00895D9C">
        <w:rPr>
          <w:rFonts w:ascii="Times New Roman" w:hAnsi="Times New Roman" w:cs="Times New Roman"/>
        </w:rPr>
        <w:t>до рішення  виконавчого комітету</w:t>
      </w:r>
    </w:p>
    <w:p w:rsidR="00895D9C" w:rsidRPr="00895D9C" w:rsidRDefault="00895D9C" w:rsidP="00895D9C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895D9C">
        <w:rPr>
          <w:rFonts w:ascii="Times New Roman" w:hAnsi="Times New Roman" w:cs="Times New Roman"/>
        </w:rPr>
        <w:t>Стрийської</w:t>
      </w:r>
      <w:proofErr w:type="spellEnd"/>
      <w:r w:rsidRPr="00895D9C">
        <w:rPr>
          <w:rFonts w:ascii="Times New Roman" w:hAnsi="Times New Roman" w:cs="Times New Roman"/>
        </w:rPr>
        <w:t xml:space="preserve"> міської ради</w:t>
      </w:r>
    </w:p>
    <w:p w:rsidR="00895D9C" w:rsidRPr="00895D9C" w:rsidRDefault="00895D9C" w:rsidP="00895D9C">
      <w:pPr>
        <w:spacing w:after="0"/>
        <w:ind w:left="5040"/>
        <w:rPr>
          <w:rFonts w:ascii="Times New Roman" w:hAnsi="Times New Roman" w:cs="Times New Roman"/>
        </w:rPr>
      </w:pPr>
      <w:r w:rsidRPr="00895D9C">
        <w:rPr>
          <w:rFonts w:ascii="Times New Roman" w:hAnsi="Times New Roman" w:cs="Times New Roman"/>
        </w:rPr>
        <w:t>від «</w:t>
      </w:r>
      <w:r w:rsidRPr="00895D9C">
        <w:rPr>
          <w:rFonts w:ascii="Times New Roman" w:hAnsi="Times New Roman" w:cs="Times New Roman"/>
          <w:lang w:val="ru-RU"/>
        </w:rPr>
        <w:t>2</w:t>
      </w:r>
      <w:r w:rsidRPr="00895D9C">
        <w:rPr>
          <w:rFonts w:ascii="Times New Roman" w:hAnsi="Times New Roman" w:cs="Times New Roman"/>
        </w:rPr>
        <w:t xml:space="preserve">»червня2022року </w:t>
      </w:r>
    </w:p>
    <w:p w:rsidR="00895D9C" w:rsidRPr="00895D9C" w:rsidRDefault="00895D9C" w:rsidP="00895D9C">
      <w:pPr>
        <w:spacing w:after="0"/>
        <w:ind w:left="5040"/>
        <w:rPr>
          <w:rFonts w:ascii="Times New Roman" w:hAnsi="Times New Roman" w:cs="Times New Roman"/>
          <w:lang w:val="ru-RU"/>
        </w:rPr>
      </w:pPr>
      <w:r w:rsidRPr="00895D9C">
        <w:rPr>
          <w:rFonts w:ascii="Times New Roman" w:hAnsi="Times New Roman" w:cs="Times New Roman"/>
        </w:rPr>
        <w:t>№</w:t>
      </w:r>
      <w:r w:rsidRPr="00895D9C">
        <w:rPr>
          <w:rFonts w:ascii="Times New Roman" w:hAnsi="Times New Roman" w:cs="Times New Roman"/>
          <w:lang w:val="ru-RU"/>
        </w:rPr>
        <w:t>199</w:t>
      </w:r>
      <w:bookmarkStart w:id="0" w:name="_GoBack"/>
      <w:bookmarkEnd w:id="0"/>
    </w:p>
    <w:p w:rsidR="00895D9C" w:rsidRPr="00895D9C" w:rsidRDefault="00895D9C" w:rsidP="00895D9C">
      <w:pPr>
        <w:spacing w:after="0"/>
        <w:rPr>
          <w:rFonts w:ascii="Times New Roman" w:hAnsi="Times New Roman" w:cs="Times New Roman"/>
          <w:b/>
          <w:sz w:val="24"/>
        </w:rPr>
      </w:pPr>
    </w:p>
    <w:p w:rsidR="00895D9C" w:rsidRPr="00895D9C" w:rsidRDefault="00895D9C" w:rsidP="00895D9C">
      <w:pPr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І.</w:t>
      </w:r>
      <w:r w:rsidRPr="00895D9C">
        <w:rPr>
          <w:rFonts w:ascii="Times New Roman" w:hAnsi="Times New Roman" w:cs="Times New Roman"/>
          <w:b/>
        </w:rPr>
        <w:t>ПАСПОРТ</w:t>
      </w:r>
    </w:p>
    <w:p w:rsidR="00895D9C" w:rsidRPr="00895D9C" w:rsidRDefault="00895D9C" w:rsidP="00895D9C">
      <w:pPr>
        <w:spacing w:after="0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895D9C">
        <w:rPr>
          <w:rFonts w:ascii="Times New Roman" w:hAnsi="Times New Roman" w:cs="Times New Roman"/>
          <w:b/>
        </w:rPr>
        <w:t>“Програми</w:t>
      </w:r>
      <w:proofErr w:type="spellEnd"/>
      <w:r w:rsidRPr="00895D9C">
        <w:rPr>
          <w:rFonts w:ascii="Times New Roman" w:hAnsi="Times New Roman" w:cs="Times New Roman"/>
          <w:b/>
        </w:rPr>
        <w:t xml:space="preserve"> благоустрою на 2022 </w:t>
      </w:r>
      <w:proofErr w:type="spellStart"/>
      <w:r w:rsidRPr="00895D9C">
        <w:rPr>
          <w:rFonts w:ascii="Times New Roman" w:hAnsi="Times New Roman" w:cs="Times New Roman"/>
          <w:b/>
        </w:rPr>
        <w:t>рік”</w:t>
      </w:r>
      <w:proofErr w:type="spellEnd"/>
      <w:r w:rsidRPr="00895D9C">
        <w:rPr>
          <w:rFonts w:ascii="Times New Roman" w:hAnsi="Times New Roman" w:cs="Times New Roman"/>
          <w:b/>
        </w:rPr>
        <w:t>.</w:t>
      </w:r>
    </w:p>
    <w:p w:rsidR="00895D9C" w:rsidRPr="00895D9C" w:rsidRDefault="00895D9C" w:rsidP="00895D9C">
      <w:pPr>
        <w:spacing w:after="0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0" w:type="dxa"/>
        <w:tblLook w:val="04A0"/>
      </w:tblPr>
      <w:tblGrid>
        <w:gridCol w:w="4260"/>
        <w:gridCol w:w="4374"/>
      </w:tblGrid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Стрийської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міської ради </w:t>
            </w:r>
          </w:p>
        </w:tc>
      </w:tr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2. Дата, номер документа</w:t>
            </w: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програми</w:t>
            </w: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</w:t>
            </w:r>
          </w:p>
        </w:tc>
      </w:tr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Стрийської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міської ради</w:t>
            </w: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Управління житлово-комунального господарства  </w:t>
            </w: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Стрийської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міської ради, </w:t>
            </w: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Стрийський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МККП</w:t>
            </w:r>
          </w:p>
          <w:p w:rsidR="00895D9C" w:rsidRPr="00895D9C" w:rsidRDefault="00895D9C" w:rsidP="00895D9C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Стрийський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міський комбінат комунальних підприємств, </w:t>
            </w: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Управління житлово-комунального господарства  </w:t>
            </w:r>
            <w:proofErr w:type="spellStart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Стрийської</w:t>
            </w:r>
            <w:proofErr w:type="spellEnd"/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міської ради</w:t>
            </w: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95D9C" w:rsidRPr="00895D9C" w:rsidTr="00322A57"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2022рік</w:t>
            </w:r>
          </w:p>
          <w:p w:rsidR="00895D9C" w:rsidRPr="00895D9C" w:rsidRDefault="00895D9C" w:rsidP="00895D9C">
            <w:pPr>
              <w:spacing w:after="0"/>
              <w:ind w:firstLine="36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95D9C" w:rsidRPr="00895D9C" w:rsidTr="00322A57">
        <w:trPr>
          <w:trHeight w:val="1304"/>
        </w:trPr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7.Загальний обсяг фінансових ресурсів, необхідних для реалізації програми в 2022р., тис. грн., всього, у тому числі: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54 504,10тис. грн.</w:t>
            </w:r>
          </w:p>
        </w:tc>
      </w:tr>
      <w:tr w:rsidR="00895D9C" w:rsidRPr="00895D9C" w:rsidTr="00322A57">
        <w:trPr>
          <w:trHeight w:val="315"/>
        </w:trPr>
        <w:tc>
          <w:tcPr>
            <w:tcW w:w="4785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eastAsia="Calibri" w:hAnsi="Times New Roman" w:cs="Times New Roman"/>
                <w:sz w:val="24"/>
                <w:szCs w:val="24"/>
              </w:rPr>
              <w:t>7.1. коштів територіальної громади</w:t>
            </w:r>
          </w:p>
        </w:tc>
        <w:tc>
          <w:tcPr>
            <w:tcW w:w="4786" w:type="dxa"/>
            <w:shd w:val="clear" w:color="auto" w:fill="auto"/>
          </w:tcPr>
          <w:p w:rsidR="00895D9C" w:rsidRPr="00895D9C" w:rsidRDefault="00895D9C" w:rsidP="00895D9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95D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54 504,10тис. грн.</w:t>
            </w:r>
          </w:p>
        </w:tc>
      </w:tr>
    </w:tbl>
    <w:p w:rsidR="00895D9C" w:rsidRPr="00895D9C" w:rsidRDefault="00895D9C" w:rsidP="00895D9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9C">
        <w:rPr>
          <w:rFonts w:ascii="Times New Roman" w:hAnsi="Times New Roman" w:cs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:rsidR="00895D9C" w:rsidRPr="00895D9C" w:rsidRDefault="00895D9C" w:rsidP="00895D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D9C">
        <w:rPr>
          <w:rFonts w:ascii="Times New Roman" w:hAnsi="Times New Roman" w:cs="Times New Roman"/>
          <w:sz w:val="24"/>
          <w:szCs w:val="24"/>
        </w:rPr>
        <w:t xml:space="preserve">Однією з найважливіших проблем є формування зовнішнього вигляду населених пунктів  </w:t>
      </w:r>
      <w:proofErr w:type="spellStart"/>
      <w:r w:rsidRPr="00895D9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 w:rsidRPr="00895D9C">
        <w:rPr>
          <w:rFonts w:ascii="Times New Roman" w:hAnsi="Times New Roman" w:cs="Times New Roman"/>
          <w:sz w:val="24"/>
          <w:szCs w:val="24"/>
        </w:rPr>
        <w:t xml:space="preserve"> територіальної громади придання їм 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 </w:t>
      </w:r>
    </w:p>
    <w:p w:rsidR="00895D9C" w:rsidRPr="00895D9C" w:rsidRDefault="00895D9C" w:rsidP="00895D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9C">
        <w:rPr>
          <w:rFonts w:ascii="Times New Roman" w:hAnsi="Times New Roman" w:cs="Times New Roman"/>
          <w:b/>
          <w:sz w:val="24"/>
          <w:szCs w:val="24"/>
        </w:rPr>
        <w:t>ІІІ. Мета Програми.</w:t>
      </w:r>
    </w:p>
    <w:p w:rsidR="00895D9C" w:rsidRPr="00895D9C" w:rsidRDefault="00895D9C" w:rsidP="00895D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895D9C" w:rsidRPr="00895D9C" w:rsidSect="00B867BF">
          <w:footerReference w:type="even" r:id="rId6"/>
          <w:pgSz w:w="11906" w:h="16838"/>
          <w:pgMar w:top="1135" w:right="707" w:bottom="1276" w:left="1701" w:header="708" w:footer="708" w:gutter="0"/>
          <w:cols w:space="720"/>
        </w:sectPr>
      </w:pPr>
      <w:r w:rsidRPr="00895D9C">
        <w:rPr>
          <w:rFonts w:ascii="Times New Roman" w:hAnsi="Times New Roman" w:cs="Times New Roman"/>
          <w:sz w:val="24"/>
          <w:szCs w:val="24"/>
        </w:rPr>
        <w:t xml:space="preserve">Контроль за впорядкуванням та утриманням території населених пунктів </w:t>
      </w:r>
      <w:proofErr w:type="spellStart"/>
      <w:r w:rsidRPr="00895D9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 w:rsidRPr="00895D9C">
        <w:rPr>
          <w:rFonts w:ascii="Times New Roman" w:hAnsi="Times New Roman" w:cs="Times New Roman"/>
          <w:sz w:val="24"/>
          <w:szCs w:val="24"/>
        </w:rPr>
        <w:t xml:space="preserve"> територіальної громади в належному стані, виконання робіт для забезпечення відповідного санітарно – епідеміологічного стану, естетичного впорядкування території міста, реалізація заходів </w:t>
      </w:r>
      <w:proofErr w:type="spellStart"/>
      <w:r w:rsidRPr="00895D9C">
        <w:rPr>
          <w:rFonts w:ascii="Times New Roman" w:hAnsi="Times New Roman" w:cs="Times New Roman"/>
          <w:sz w:val="24"/>
          <w:szCs w:val="24"/>
        </w:rPr>
        <w:t>“Програми</w:t>
      </w:r>
      <w:proofErr w:type="spellEnd"/>
      <w:r w:rsidRPr="00895D9C"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proofErr w:type="spellStart"/>
      <w:r w:rsidRPr="00895D9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D9C">
        <w:rPr>
          <w:rFonts w:ascii="Times New Roman" w:hAnsi="Times New Roman" w:cs="Times New Roman"/>
          <w:sz w:val="24"/>
          <w:szCs w:val="24"/>
        </w:rPr>
        <w:t xml:space="preserve">територіальної громадина 2022 </w:t>
      </w:r>
      <w:proofErr w:type="spellStart"/>
      <w:r w:rsidRPr="00895D9C">
        <w:rPr>
          <w:rFonts w:ascii="Times New Roman" w:hAnsi="Times New Roman" w:cs="Times New Roman"/>
          <w:sz w:val="24"/>
          <w:szCs w:val="24"/>
        </w:rPr>
        <w:t>рік”</w:t>
      </w:r>
      <w:proofErr w:type="spellEnd"/>
      <w:r w:rsidRPr="00895D9C">
        <w:rPr>
          <w:rFonts w:ascii="Times New Roman" w:hAnsi="Times New Roman" w:cs="Times New Roman"/>
          <w:sz w:val="24"/>
          <w:szCs w:val="24"/>
        </w:rPr>
        <w:t>.</w:t>
      </w:r>
    </w:p>
    <w:p w:rsidR="00895D9C" w:rsidRPr="00895D9C" w:rsidRDefault="00895D9C" w:rsidP="00895D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5D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95D9C">
        <w:rPr>
          <w:rFonts w:ascii="Times New Roman" w:hAnsi="Times New Roman" w:cs="Times New Roman"/>
          <w:b/>
          <w:sz w:val="24"/>
          <w:szCs w:val="24"/>
        </w:rPr>
        <w:t xml:space="preserve">. Перелік завдань, заходів та </w:t>
      </w:r>
      <w:proofErr w:type="gramStart"/>
      <w:r w:rsidRPr="00895D9C">
        <w:rPr>
          <w:rFonts w:ascii="Times New Roman" w:hAnsi="Times New Roman" w:cs="Times New Roman"/>
          <w:b/>
          <w:sz w:val="24"/>
          <w:szCs w:val="24"/>
        </w:rPr>
        <w:t xml:space="preserve">показників  </w:t>
      </w:r>
      <w:proofErr w:type="spellStart"/>
      <w:r w:rsidRPr="00895D9C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895D9C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895D9C" w:rsidRPr="00895D9C" w:rsidRDefault="00895D9C" w:rsidP="00895D9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9C">
        <w:rPr>
          <w:rFonts w:ascii="Times New Roman" w:hAnsi="Times New Roman" w:cs="Times New Roman"/>
          <w:b/>
          <w:sz w:val="24"/>
          <w:szCs w:val="24"/>
        </w:rPr>
        <w:t>благоустрою на 2022рік”</w:t>
      </w:r>
    </w:p>
    <w:p w:rsidR="00895D9C" w:rsidRPr="00895D9C" w:rsidRDefault="00895D9C" w:rsidP="00895D9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4026"/>
        <w:gridCol w:w="1560"/>
        <w:gridCol w:w="1294"/>
        <w:gridCol w:w="1853"/>
        <w:gridCol w:w="1704"/>
        <w:gridCol w:w="1669"/>
        <w:gridCol w:w="2606"/>
      </w:tblGrid>
      <w:tr w:rsidR="00895D9C" w:rsidRPr="00895D9C" w:rsidTr="00322A57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895D9C" w:rsidRPr="00895D9C" w:rsidTr="00322A57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Джерела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Обсяги, тис. грн.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5D9C" w:rsidRPr="00895D9C" w:rsidTr="00322A57">
        <w:tc>
          <w:tcPr>
            <w:tcW w:w="15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2022рік</w:t>
            </w:r>
          </w:p>
        </w:tc>
      </w:tr>
      <w:tr w:rsidR="00895D9C" w:rsidRPr="00895D9C" w:rsidTr="00322A57">
        <w:trPr>
          <w:trHeight w:val="22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БлагоустрійСтрийської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територіальної громади :</w:t>
            </w:r>
          </w:p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прибирання доріг, тротуарів, майданів, мостів, кладовища, парків, скверів, прибирання місць масового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відпочинкуна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річці Стрий, автобусних зупинок,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утриманнягромадських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туалетів, туалету на міському кладовищі,вивіз сміття з кладовищ, послуги з організації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похоронгромадян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без певного місця проживання, одиноких,  безрідних  ,невпізнаних трупів,утримання мережі 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зовнішньогоосвітлення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вулиць ,утримання сторожівна міському кладовищі, утримання автобусних зупинок (впорядкування, благоустрій, ремонтні роботи), утримання  та ремонт контейнерних майданчиків,водовідведення з тротуарів, доріг, місць загального користування, впорядкування узбіч доріг та дрібні ремонтні роботи, утримання пам’ятників, стел, в’їзних знаків, фарбування огороджень, побілка вапняним розчином бордюрів,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колесовідбійниківпоребриків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,,стовбурів дерев фарбування перил на мостах та під’їзних шляхах. Утримання та ремонт дитячих майданчиків,ремонт, фарбування та встановлення лавок. Догляд за деревами і кущами</w:t>
            </w:r>
          </w:p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(підживлення ,обрізування крон дерев і кущів,обрізка живої огорожі, вирізування сухих суків  і гілок,видалення аварійних дерев, кущів,пнів),догляд за газонами (підживлення, поливання,прополювання,косіння трави,збирання та вивезення скошеної трави,сміття та опалого листя), висаджування  квітів на квітниках та у декоративні вази, догляд за квітниками,косіння,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коктування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. Встановлення, монтаж та демонтаж вазонів – квітників на вуличних опорах. </w:t>
            </w:r>
          </w:p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Інші роботи по благоустрою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територіальної громади, впорядкування та оформлення міста до святкування визначних державних , релігійних свят та інших масових заходів, ремонт та фарбування контейнерів для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ТПВі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їх перевезення ,виготовлення  та встановлення огородження дерев,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утриманнядоріг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ліквідаціяямковості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внаселенихпунктахСтрийськоїтериторіальноїгромади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5D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поховання на кладовищах </w:t>
            </w:r>
            <w:proofErr w:type="spellStart"/>
            <w:r w:rsidRPr="00895D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ТГ та м. Стрия учасників бойових дій, </w:t>
            </w:r>
            <w:r w:rsidRPr="00895D9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осіб з інвалідністю внаслідок війни, та осіб, </w:t>
            </w:r>
            <w:r w:rsidRPr="00895D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які загинули чи померли під час широкомасштабного вторгнення РФ на територію України, та бойових дій на території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Затрат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благоустрій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ТГ, 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44 704,10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Продукту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Кількість місяців проведення робіт з благоустрою – 12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Ефективності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Виконання робіт з благоустрою в розрахунку на 1 місяць - 3725,34 тис. грн.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Якості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% виконання робіт</w:t>
            </w: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Протягом 2022 року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ind w:lef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ЖКГ  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Стрийський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МККП</w:t>
            </w:r>
          </w:p>
          <w:p w:rsidR="00895D9C" w:rsidRPr="00895D9C" w:rsidRDefault="00895D9C" w:rsidP="00322A57">
            <w:pPr>
              <w:ind w:left="-18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БюджетТГ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44 704,10</w:t>
            </w: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Забезпечення виконання робіт по благоустрою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ТГ відповідного санітарно-епідеміологічного стану, естетичного впорядкування території.</w:t>
            </w:r>
          </w:p>
        </w:tc>
      </w:tr>
      <w:tr w:rsidR="00895D9C" w:rsidRPr="00895D9C" w:rsidTr="00322A57">
        <w:trPr>
          <w:trHeight w:val="25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Відшкодуваннявартостірозподілу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та електроенергії(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активноїтареактивної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),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спожитоїмережеюзовнішньогоосвітленнявулиць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населених пунктів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територіальної громади,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світлофорнимиоб’єктами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дорожнімизнаками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інформаційнимитабло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системоювідеонагляду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Затрат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Обсягвидатків9800,00тис.грн. </w:t>
            </w: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Продукту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Кількістьвідшкодованоїелектроенергії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, кВт -2041666,67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Ефективності</w:t>
            </w:r>
          </w:p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середнявартість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кВтрозподілута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 1кВтактивної електроенергії4,80грн.</w:t>
            </w: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D9C" w:rsidRPr="00895D9C" w:rsidRDefault="00895D9C" w:rsidP="00322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Протягом 2022року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ind w:lef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УправлінняЖКГСтрийської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  <w:proofErr w:type="spellEnd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СтрийськийМККП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D9C">
              <w:rPr>
                <w:rFonts w:ascii="Times New Roman" w:hAnsi="Times New Roman" w:cs="Times New Roman"/>
                <w:sz w:val="18"/>
                <w:szCs w:val="18"/>
              </w:rPr>
              <w:t>БюджетТГ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9800,00</w:t>
            </w:r>
          </w:p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D9C" w:rsidRPr="00895D9C" w:rsidTr="00322A57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Усього на етап або програму: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C" w:rsidRPr="00895D9C" w:rsidRDefault="00895D9C" w:rsidP="00322A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D9C">
              <w:rPr>
                <w:rFonts w:ascii="Times New Roman" w:hAnsi="Times New Roman" w:cs="Times New Roman"/>
                <w:b/>
                <w:sz w:val="18"/>
                <w:szCs w:val="18"/>
              </w:rPr>
              <w:t>54 504,10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C" w:rsidRPr="00895D9C" w:rsidRDefault="00895D9C" w:rsidP="0032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Default="00895D9C" w:rsidP="00895D9C">
      <w:pPr>
        <w:rPr>
          <w:rFonts w:ascii="Times New Roman" w:hAnsi="Times New Roman" w:cs="Times New Roman"/>
          <w:b/>
          <w:u w:val="single"/>
        </w:rPr>
      </w:pPr>
    </w:p>
    <w:p w:rsidR="00895D9C" w:rsidRPr="00895D9C" w:rsidRDefault="00895D9C" w:rsidP="00895D9C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gramStart"/>
      <w:r w:rsidRPr="00895D9C">
        <w:rPr>
          <w:rFonts w:ascii="Times New Roman" w:hAnsi="Times New Roman" w:cs="Times New Roman"/>
          <w:b/>
          <w:u w:val="single"/>
          <w:lang w:val="en-US"/>
        </w:rPr>
        <w:lastRenderedPageBreak/>
        <w:t>V</w:t>
      </w:r>
      <w:proofErr w:type="spellStart"/>
      <w:r w:rsidRPr="00895D9C">
        <w:rPr>
          <w:rFonts w:ascii="Times New Roman" w:hAnsi="Times New Roman" w:cs="Times New Roman"/>
          <w:b/>
          <w:u w:val="single"/>
        </w:rPr>
        <w:t>.Ресурсне</w:t>
      </w:r>
      <w:proofErr w:type="spellEnd"/>
      <w:r w:rsidRPr="00895D9C">
        <w:rPr>
          <w:rFonts w:ascii="Times New Roman" w:hAnsi="Times New Roman" w:cs="Times New Roman"/>
          <w:b/>
          <w:u w:val="single"/>
        </w:rPr>
        <w:t xml:space="preserve"> забезпечення виконання завдання Програми</w:t>
      </w:r>
      <w:r w:rsidRPr="00895D9C">
        <w:rPr>
          <w:rFonts w:ascii="Times New Roman" w:hAnsi="Times New Roman" w:cs="Times New Roman"/>
          <w:b/>
          <w:i/>
          <w:u w:val="single"/>
        </w:rPr>
        <w:t>.</w:t>
      </w:r>
      <w:proofErr w:type="gramEnd"/>
    </w:p>
    <w:p w:rsidR="00895D9C" w:rsidRPr="00895D9C" w:rsidRDefault="00895D9C" w:rsidP="00895D9C">
      <w:pPr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6"/>
        <w:gridCol w:w="3285"/>
        <w:gridCol w:w="3285"/>
      </w:tblGrid>
      <w:tr w:rsidR="00895D9C" w:rsidRPr="00895D9C" w:rsidTr="00322A5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9C" w:rsidRPr="00895D9C" w:rsidRDefault="00895D9C" w:rsidP="00322A57">
            <w:pPr>
              <w:pStyle w:val="a8"/>
              <w:ind w:left="0"/>
              <w:jc w:val="left"/>
              <w:rPr>
                <w:b/>
                <w:sz w:val="20"/>
                <w:szCs w:val="20"/>
              </w:rPr>
            </w:pPr>
            <w:r w:rsidRPr="00895D9C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9C" w:rsidRPr="00895D9C" w:rsidRDefault="00895D9C" w:rsidP="00322A57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895D9C">
              <w:rPr>
                <w:rFonts w:eastAsia="Calibri"/>
                <w:b/>
                <w:sz w:val="20"/>
                <w:szCs w:val="20"/>
              </w:rPr>
              <w:t>2022 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9C" w:rsidRPr="00895D9C" w:rsidRDefault="00895D9C" w:rsidP="00322A57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895D9C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895D9C" w:rsidRPr="00895D9C" w:rsidTr="00322A5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9C" w:rsidRPr="00895D9C" w:rsidRDefault="00895D9C" w:rsidP="00322A57">
            <w:pPr>
              <w:pStyle w:val="a8"/>
              <w:ind w:left="0"/>
              <w:rPr>
                <w:sz w:val="24"/>
                <w:szCs w:val="24"/>
              </w:rPr>
            </w:pPr>
            <w:r w:rsidRPr="00895D9C">
              <w:rPr>
                <w:rFonts w:eastAsia="Calibri"/>
                <w:sz w:val="24"/>
                <w:szCs w:val="24"/>
              </w:rPr>
              <w:t>Усього :</w:t>
            </w: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sz w:val="24"/>
                <w:szCs w:val="24"/>
              </w:rPr>
            </w:pPr>
            <w:r w:rsidRPr="00895D9C">
              <w:rPr>
                <w:rFonts w:eastAsia="Calibri"/>
                <w:sz w:val="24"/>
                <w:szCs w:val="24"/>
              </w:rPr>
              <w:t>В тому числі :</w:t>
            </w:r>
          </w:p>
          <w:p w:rsidR="00895D9C" w:rsidRPr="00895D9C" w:rsidRDefault="00895D9C" w:rsidP="00895D9C">
            <w:pPr>
              <w:pStyle w:val="a8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 w:rsidRPr="00895D9C">
              <w:rPr>
                <w:rFonts w:eastAsia="Calibri"/>
                <w:sz w:val="24"/>
                <w:szCs w:val="24"/>
              </w:rPr>
              <w:t>державний бюджет</w:t>
            </w:r>
          </w:p>
          <w:p w:rsidR="00895D9C" w:rsidRPr="00895D9C" w:rsidRDefault="00895D9C" w:rsidP="00895D9C">
            <w:pPr>
              <w:pStyle w:val="a8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 w:rsidRPr="00895D9C">
              <w:rPr>
                <w:rFonts w:eastAsia="Calibri"/>
                <w:sz w:val="24"/>
                <w:szCs w:val="24"/>
              </w:rPr>
              <w:t>державні і обласні фонди</w:t>
            </w:r>
          </w:p>
          <w:p w:rsidR="00895D9C" w:rsidRPr="00895D9C" w:rsidRDefault="00895D9C" w:rsidP="00895D9C">
            <w:pPr>
              <w:pStyle w:val="a8"/>
              <w:numPr>
                <w:ilvl w:val="0"/>
                <w:numId w:val="1"/>
              </w:numPr>
            </w:pPr>
            <w:r w:rsidRPr="00895D9C">
              <w:rPr>
                <w:rFonts w:eastAsia="Calibri"/>
              </w:rPr>
              <w:t>бюджет територіальної громади</w:t>
            </w:r>
          </w:p>
          <w:p w:rsidR="00895D9C" w:rsidRPr="00895D9C" w:rsidRDefault="00895D9C" w:rsidP="00895D9C">
            <w:pPr>
              <w:pStyle w:val="a8"/>
              <w:numPr>
                <w:ilvl w:val="0"/>
                <w:numId w:val="1"/>
              </w:numPr>
            </w:pPr>
            <w:r w:rsidRPr="00895D9C">
              <w:rPr>
                <w:rFonts w:eastAsia="Calibri"/>
              </w:rPr>
              <w:t>субвенції інших бюджетів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54 504,10тис. грн.</w:t>
            </w: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-</w:t>
            </w: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-</w:t>
            </w: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54 504,10тис. грн.</w:t>
            </w:r>
          </w:p>
          <w:p w:rsidR="00895D9C" w:rsidRPr="00895D9C" w:rsidRDefault="00895D9C" w:rsidP="00322A57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54 504,10тис. грн.</w:t>
            </w: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895D9C" w:rsidRPr="00895D9C" w:rsidRDefault="00895D9C" w:rsidP="00322A57">
            <w:pPr>
              <w:pStyle w:val="a8"/>
              <w:ind w:left="0"/>
              <w:rPr>
                <w:rFonts w:eastAsia="Calibri"/>
                <w:b/>
                <w:sz w:val="24"/>
                <w:szCs w:val="24"/>
              </w:rPr>
            </w:pPr>
            <w:r w:rsidRPr="00895D9C">
              <w:rPr>
                <w:rFonts w:eastAsia="Calibri"/>
                <w:b/>
                <w:sz w:val="24"/>
                <w:szCs w:val="24"/>
              </w:rPr>
              <w:t>54 504,10тис. грн.</w:t>
            </w:r>
          </w:p>
          <w:p w:rsidR="00895D9C" w:rsidRPr="00895D9C" w:rsidRDefault="00895D9C" w:rsidP="00322A57">
            <w:pPr>
              <w:pStyle w:val="a8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95D9C" w:rsidRPr="00895D9C" w:rsidRDefault="00895D9C" w:rsidP="00895D9C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895D9C" w:rsidRPr="00895D9C" w:rsidRDefault="00895D9C" w:rsidP="00895D9C">
      <w:pPr>
        <w:jc w:val="both"/>
        <w:rPr>
          <w:rFonts w:ascii="Times New Roman" w:eastAsia="Calibri" w:hAnsi="Times New Roman" w:cs="Times New Roman"/>
        </w:rPr>
      </w:pPr>
      <w:r w:rsidRPr="00895D9C">
        <w:rPr>
          <w:rFonts w:ascii="Times New Roman" w:hAnsi="Times New Roman" w:cs="Times New Roman"/>
        </w:rPr>
        <w:t xml:space="preserve">        Цільове фінансування Програми здійснюється в межах асигнувань, передбачених бюджетом,  шляхом  спрямування коштів управлінню ЖКГ </w:t>
      </w:r>
      <w:proofErr w:type="spellStart"/>
      <w:r w:rsidRPr="00895D9C">
        <w:rPr>
          <w:rFonts w:ascii="Times New Roman" w:hAnsi="Times New Roman" w:cs="Times New Roman"/>
        </w:rPr>
        <w:t>Стрийської</w:t>
      </w:r>
      <w:proofErr w:type="spellEnd"/>
      <w:r w:rsidRPr="00895D9C">
        <w:rPr>
          <w:rFonts w:ascii="Times New Roman" w:hAnsi="Times New Roman" w:cs="Times New Roman"/>
        </w:rPr>
        <w:t xml:space="preserve"> міської </w:t>
      </w:r>
      <w:proofErr w:type="spellStart"/>
      <w:r w:rsidRPr="00895D9C">
        <w:rPr>
          <w:rFonts w:ascii="Times New Roman" w:hAnsi="Times New Roman" w:cs="Times New Roman"/>
        </w:rPr>
        <w:t>радита</w:t>
      </w:r>
      <w:proofErr w:type="spellEnd"/>
      <w:r w:rsidRPr="00895D9C">
        <w:rPr>
          <w:rFonts w:ascii="Times New Roman" w:hAnsi="Times New Roman" w:cs="Times New Roman"/>
        </w:rPr>
        <w:t xml:space="preserve"> СМККП.</w:t>
      </w:r>
    </w:p>
    <w:p w:rsidR="00895D9C" w:rsidRPr="00895D9C" w:rsidRDefault="00895D9C" w:rsidP="00895D9C">
      <w:pPr>
        <w:jc w:val="both"/>
        <w:rPr>
          <w:rFonts w:ascii="Times New Roman" w:hAnsi="Times New Roman" w:cs="Times New Roman"/>
        </w:rPr>
      </w:pPr>
      <w:r w:rsidRPr="00895D9C">
        <w:rPr>
          <w:rFonts w:ascii="Times New Roman" w:hAnsi="Times New Roman" w:cs="Times New Roman"/>
        </w:rPr>
        <w:t xml:space="preserve">       Вході реалізації заходів Програми можливі коригування, зміни, уточнення,доповнення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:rsidR="00895D9C" w:rsidRPr="00895D9C" w:rsidRDefault="00895D9C" w:rsidP="00895D9C">
      <w:pPr>
        <w:jc w:val="center"/>
        <w:rPr>
          <w:rFonts w:ascii="Times New Roman" w:hAnsi="Times New Roman" w:cs="Times New Roman"/>
          <w:b/>
        </w:rPr>
      </w:pPr>
      <w:proofErr w:type="gramStart"/>
      <w:r w:rsidRPr="00895D9C">
        <w:rPr>
          <w:rFonts w:ascii="Times New Roman" w:hAnsi="Times New Roman" w:cs="Times New Roman"/>
          <w:b/>
          <w:lang w:val="en-US"/>
        </w:rPr>
        <w:t>V</w:t>
      </w:r>
      <w:r w:rsidRPr="00895D9C">
        <w:rPr>
          <w:rFonts w:ascii="Times New Roman" w:hAnsi="Times New Roman" w:cs="Times New Roman"/>
          <w:b/>
        </w:rPr>
        <w:t>І.</w:t>
      </w:r>
      <w:proofErr w:type="gramEnd"/>
      <w:r w:rsidRPr="00895D9C">
        <w:rPr>
          <w:rFonts w:ascii="Times New Roman" w:hAnsi="Times New Roman" w:cs="Times New Roman"/>
          <w:b/>
        </w:rPr>
        <w:t xml:space="preserve"> Строки, моніторинг та контроль за виконанням завдань Програми</w:t>
      </w:r>
    </w:p>
    <w:p w:rsidR="00895D9C" w:rsidRPr="00895D9C" w:rsidRDefault="00895D9C" w:rsidP="00895D9C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895D9C">
        <w:rPr>
          <w:rFonts w:ascii="Times New Roman" w:hAnsi="Times New Roman" w:cs="Times New Roman"/>
        </w:rPr>
        <w:t xml:space="preserve">      Виконання завдань «Програми</w:t>
      </w:r>
      <w:r w:rsidR="00632F2B">
        <w:rPr>
          <w:rFonts w:ascii="Times New Roman" w:hAnsi="Times New Roman" w:cs="Times New Roman"/>
        </w:rPr>
        <w:t xml:space="preserve"> </w:t>
      </w:r>
      <w:r w:rsidRPr="00895D9C">
        <w:rPr>
          <w:rFonts w:ascii="Times New Roman" w:hAnsi="Times New Roman" w:cs="Times New Roman"/>
        </w:rPr>
        <w:t>благоустрою на 2022рік» передбачено провести у 2022р. з повним використанням передбачених коштів.</w:t>
      </w:r>
    </w:p>
    <w:p w:rsidR="00895D9C" w:rsidRPr="00895D9C" w:rsidRDefault="00895D9C" w:rsidP="00895D9C">
      <w:pPr>
        <w:jc w:val="both"/>
        <w:rPr>
          <w:rFonts w:ascii="Times New Roman" w:hAnsi="Times New Roman" w:cs="Times New Roman"/>
          <w:lang w:val="ru-RU"/>
        </w:rPr>
      </w:pPr>
      <w:r w:rsidRPr="00895D9C">
        <w:rPr>
          <w:rFonts w:ascii="Times New Roman" w:hAnsi="Times New Roman" w:cs="Times New Roman"/>
        </w:rPr>
        <w:t xml:space="preserve">      Річний та проміжні звіти по використанню коштів надаються фінансовому управлінню </w:t>
      </w:r>
      <w:proofErr w:type="spellStart"/>
      <w:r w:rsidRPr="00895D9C">
        <w:rPr>
          <w:rFonts w:ascii="Times New Roman" w:hAnsi="Times New Roman" w:cs="Times New Roman"/>
        </w:rPr>
        <w:t>Стрийської</w:t>
      </w:r>
      <w:proofErr w:type="spellEnd"/>
      <w:r w:rsidRPr="00895D9C">
        <w:rPr>
          <w:rFonts w:ascii="Times New Roman" w:hAnsi="Times New Roman" w:cs="Times New Roman"/>
        </w:rPr>
        <w:t xml:space="preserve"> міської ради.  Використання бюджетних коштів на реалізацію Програми враховується при складанні її на наступний фінансовий рік.</w:t>
      </w:r>
    </w:p>
    <w:p w:rsidR="00895D9C" w:rsidRDefault="00895D9C" w:rsidP="00895D9C">
      <w:pPr>
        <w:jc w:val="both"/>
        <w:rPr>
          <w:rFonts w:ascii="Times New Roman" w:hAnsi="Times New Roman" w:cs="Times New Roman"/>
          <w:b/>
        </w:rPr>
      </w:pPr>
      <w:r w:rsidRPr="00895D9C">
        <w:rPr>
          <w:rFonts w:ascii="Times New Roman" w:hAnsi="Times New Roman" w:cs="Times New Roman"/>
          <w:b/>
        </w:rPr>
        <w:t>Начальник управління                                                                                                            Ігор ПАСТУЩИН</w:t>
      </w:r>
    </w:p>
    <w:p w:rsidR="00895D9C" w:rsidRPr="00895D9C" w:rsidRDefault="00895D9C" w:rsidP="00895D9C">
      <w:pPr>
        <w:jc w:val="both"/>
        <w:rPr>
          <w:rFonts w:ascii="Times New Roman" w:hAnsi="Times New Roman" w:cs="Times New Roman"/>
          <w:b/>
        </w:rPr>
      </w:pPr>
      <w:r w:rsidRPr="00895D9C">
        <w:rPr>
          <w:rFonts w:ascii="Times New Roman" w:hAnsi="Times New Roman" w:cs="Times New Roman"/>
          <w:b/>
        </w:rPr>
        <w:t xml:space="preserve">Керуюча справами міськвиконкому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895D9C">
        <w:rPr>
          <w:rFonts w:ascii="Times New Roman" w:hAnsi="Times New Roman" w:cs="Times New Roman"/>
          <w:b/>
        </w:rPr>
        <w:t>Оксана ЗАТВАРНИЦЬКА</w:t>
      </w:r>
    </w:p>
    <w:p w:rsidR="00242E92" w:rsidRPr="00895D9C" w:rsidRDefault="00242E92">
      <w:pPr>
        <w:rPr>
          <w:rFonts w:ascii="Times New Roman" w:hAnsi="Times New Roman" w:cs="Times New Roman"/>
        </w:rPr>
      </w:pPr>
    </w:p>
    <w:sectPr w:rsidR="00242E92" w:rsidRPr="00895D9C" w:rsidSect="00D00C23">
      <w:footerReference w:type="default" r:id="rId7"/>
      <w:headerReference w:type="first" r:id="rId8"/>
      <w:pgSz w:w="16840" w:h="11907" w:orient="landscape" w:code="9"/>
      <w:pgMar w:top="567" w:right="567" w:bottom="993" w:left="567" w:header="567" w:footer="34" w:gutter="0"/>
      <w:pgNumType w:start="1"/>
      <w:cols w:space="720"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242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812775" w:rsidRDefault="00242E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242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2F2B">
      <w:rPr>
        <w:rStyle w:val="a7"/>
        <w:noProof/>
      </w:rPr>
      <w:t>2</w:t>
    </w:r>
    <w:r>
      <w:rPr>
        <w:rStyle w:val="a7"/>
      </w:rPr>
      <w:fldChar w:fldCharType="end"/>
    </w:r>
  </w:p>
  <w:p w:rsidR="00812775" w:rsidRDefault="00242E9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242E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5D9C"/>
    <w:rsid w:val="00242E92"/>
    <w:rsid w:val="00632F2B"/>
    <w:rsid w:val="0089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95D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Journal" w:eastAsia="Times New Roman" w:hAnsi="Journ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95D9C"/>
    <w:rPr>
      <w:rFonts w:ascii="Journal" w:eastAsia="Times New Roman" w:hAnsi="Journal" w:cs="Times New Roman"/>
      <w:sz w:val="26"/>
      <w:szCs w:val="26"/>
      <w:lang w:eastAsia="ru-RU"/>
    </w:rPr>
  </w:style>
  <w:style w:type="paragraph" w:styleId="a5">
    <w:name w:val="footer"/>
    <w:basedOn w:val="a"/>
    <w:link w:val="a6"/>
    <w:semiHidden/>
    <w:rsid w:val="00895D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Journal" w:eastAsia="Times New Roman" w:hAnsi="Journ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895D9C"/>
    <w:rPr>
      <w:rFonts w:ascii="Journal" w:eastAsia="Times New Roman" w:hAnsi="Journal" w:cs="Times New Roman"/>
      <w:sz w:val="26"/>
      <w:szCs w:val="26"/>
      <w:lang w:eastAsia="ru-RU"/>
    </w:rPr>
  </w:style>
  <w:style w:type="character" w:styleId="a7">
    <w:name w:val="page number"/>
    <w:basedOn w:val="a0"/>
    <w:semiHidden/>
    <w:rsid w:val="00895D9C"/>
  </w:style>
  <w:style w:type="paragraph" w:styleId="a8">
    <w:name w:val="List Paragraph"/>
    <w:basedOn w:val="a"/>
    <w:uiPriority w:val="34"/>
    <w:qFormat/>
    <w:rsid w:val="00895D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E9EC-2BD8-4B4E-9BC2-55E236BF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4273</Words>
  <Characters>2437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2022-06-29T11:29:00Z</dcterms:created>
  <dcterms:modified xsi:type="dcterms:W3CDTF">2022-06-29T11:33:00Z</dcterms:modified>
</cp:coreProperties>
</file>